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147A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滑县</w:t>
      </w:r>
      <w:r>
        <w:rPr>
          <w:rFonts w:hint="eastAsia"/>
          <w:sz w:val="36"/>
          <w:szCs w:val="36"/>
          <w:lang w:val="en-US" w:eastAsia="zh-CN"/>
        </w:rPr>
        <w:t>S223滑确线大宫河北桥预防养护项目</w:t>
      </w:r>
    </w:p>
    <w:p w14:paraId="24BFE604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招标计划</w:t>
      </w:r>
    </w:p>
    <w:tbl>
      <w:tblPr>
        <w:tblStyle w:val="5"/>
        <w:tblpPr w:leftFromText="180" w:rightFromText="180" w:vertAnchor="text" w:horzAnchor="page" w:tblpX="2027" w:tblpY="6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508"/>
      </w:tblGrid>
      <w:tr w14:paraId="615C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91" w:type="dxa"/>
            <w:vAlign w:val="center"/>
          </w:tcPr>
          <w:p w14:paraId="78450E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08" w:type="dxa"/>
            <w:vAlign w:val="center"/>
          </w:tcPr>
          <w:p w14:paraId="0289D5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滑县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S223滑确线大宫河北桥预防养护项目</w:t>
            </w:r>
          </w:p>
        </w:tc>
      </w:tr>
      <w:tr w14:paraId="587D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91" w:type="dxa"/>
            <w:vAlign w:val="center"/>
          </w:tcPr>
          <w:p w14:paraId="773D27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</w:tc>
        <w:tc>
          <w:tcPr>
            <w:tcW w:w="6508" w:type="dxa"/>
            <w:vAlign w:val="center"/>
          </w:tcPr>
          <w:p w14:paraId="11E702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滑县公路事业发展中心</w:t>
            </w:r>
          </w:p>
        </w:tc>
      </w:tr>
      <w:tr w14:paraId="10C5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991" w:type="dxa"/>
            <w:vAlign w:val="center"/>
          </w:tcPr>
          <w:p w14:paraId="27A824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6508" w:type="dxa"/>
            <w:vAlign w:val="center"/>
          </w:tcPr>
          <w:p w14:paraId="643E44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滑县S223滑确线大宫河北桥预防养护项目，道路等级为二级公路，设计速度80km/h。桥梁中心桩号K0+588，桥梁全长67.44m，桥面总宽28.0m，桥面净宽24.5m，跨径组合为4-16m。上部结构采用钢筋混凝土空心板梁。主要工程内容：对空心板、桥台台帽、盖梁、墩身外露钢筋除锈，对混凝土剥落或掉角部位修补；对全桥支座进行更换、铰缝填充填缝剂、护坡沉陷修复、灰缝脱落处重新勾缝；重做桥面铺装防水层、沥青混凝土面层；桥上栏杆全部拆除更换钢筋混凝土墙式护栏；重新做人行道、PVC泄水管等。</w:t>
            </w:r>
          </w:p>
        </w:tc>
      </w:tr>
      <w:tr w14:paraId="4D7A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91" w:type="dxa"/>
            <w:vAlign w:val="center"/>
          </w:tcPr>
          <w:p w14:paraId="52531C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投资额</w:t>
            </w:r>
          </w:p>
        </w:tc>
        <w:tc>
          <w:tcPr>
            <w:tcW w:w="6508" w:type="dxa"/>
            <w:vAlign w:val="center"/>
          </w:tcPr>
          <w:p w14:paraId="654D1F3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110.3230万元</w:t>
            </w:r>
          </w:p>
        </w:tc>
      </w:tr>
      <w:tr w14:paraId="1218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91" w:type="dxa"/>
            <w:vAlign w:val="center"/>
          </w:tcPr>
          <w:p w14:paraId="2E757D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计划招标时间</w:t>
            </w:r>
          </w:p>
        </w:tc>
        <w:tc>
          <w:tcPr>
            <w:tcW w:w="6508" w:type="dxa"/>
            <w:vAlign w:val="center"/>
          </w:tcPr>
          <w:p w14:paraId="6597FFC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2024年11月</w:t>
            </w:r>
          </w:p>
        </w:tc>
      </w:tr>
      <w:tr w14:paraId="0BCE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91" w:type="dxa"/>
            <w:vAlign w:val="center"/>
          </w:tcPr>
          <w:p w14:paraId="5A2DC3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08" w:type="dxa"/>
            <w:vAlign w:val="center"/>
          </w:tcPr>
          <w:p w14:paraId="58F3D6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 w14:paraId="59A264DF">
      <w:pPr>
        <w:jc w:val="both"/>
        <w:rPr>
          <w:rFonts w:hint="eastAsia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DRkOTc0M2E4MDFmM2FlMGVhOTg5M2Y4YTA2OWIifQ=="/>
  </w:docVars>
  <w:rsids>
    <w:rsidRoot w:val="139C3E5A"/>
    <w:rsid w:val="139C3E5A"/>
    <w:rsid w:val="5D847C1A"/>
    <w:rsid w:val="664565C0"/>
    <w:rsid w:val="717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338</Characters>
  <Lines>0</Lines>
  <Paragraphs>0</Paragraphs>
  <TotalTime>2</TotalTime>
  <ScaleCrop>false</ScaleCrop>
  <LinksUpToDate>false</LinksUpToDate>
  <CharactersWithSpaces>338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2024-08-30T07:20:00Z</dcterms:created>
  <dc:creator>NTKO</dc:creator>
  <cp:lastModifiedBy>马玲</cp:lastModifiedBy>
  <dcterms:modified xsi:type="dcterms:W3CDTF">2024-10-09T09:49:26Z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697F2BAE53B344B3AE4FABCA633CB60C_13</vt:lpwstr>
  </property>
</Properties>
</file>