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left="2200" w:hanging="2200" w:hangingChars="500"/>
        <w:jc w:val="center"/>
        <w:rPr>
          <w:rFonts w:hint="eastAsia" w:asciiTheme="minorEastAsia" w:hAnsiTheme="minorEastAsia" w:eastAsiaTheme="minorEastAsia"/>
          <w:b/>
          <w:bCs/>
          <w:color w:val="auto"/>
          <w:sz w:val="44"/>
          <w:szCs w:val="44"/>
        </w:rPr>
      </w:pPr>
      <w:bookmarkStart w:id="0" w:name="_GoBack"/>
      <w:r>
        <w:rPr>
          <w:rFonts w:hint="eastAsia" w:asciiTheme="minorEastAsia" w:hAnsiTheme="minorEastAsia" w:eastAsiaTheme="minorEastAsia"/>
          <w:b/>
          <w:bCs/>
          <w:color w:val="auto"/>
          <w:sz w:val="44"/>
          <w:szCs w:val="44"/>
        </w:rPr>
        <w:t>关于</w:t>
      </w:r>
      <w:r>
        <w:rPr>
          <w:rFonts w:hint="eastAsia" w:asciiTheme="minorEastAsia" w:hAnsiTheme="minorEastAsia" w:eastAsiaTheme="minorEastAsia"/>
          <w:b/>
          <w:bCs/>
          <w:color w:val="auto"/>
          <w:sz w:val="44"/>
          <w:szCs w:val="44"/>
          <w:lang w:val="en-US" w:eastAsia="zh-CN"/>
        </w:rPr>
        <w:t>印发</w:t>
      </w:r>
      <w:r>
        <w:rPr>
          <w:rFonts w:hint="eastAsia" w:asciiTheme="minorEastAsia" w:hAnsiTheme="minorEastAsia" w:eastAsiaTheme="minorEastAsia"/>
          <w:b/>
          <w:bCs/>
          <w:color w:val="auto"/>
          <w:sz w:val="44"/>
          <w:szCs w:val="44"/>
        </w:rPr>
        <w:t>《滑县公共资源交易进场代理机构</w:t>
      </w:r>
    </w:p>
    <w:p>
      <w:pPr>
        <w:widowControl/>
        <w:spacing w:line="240" w:lineRule="auto"/>
        <w:ind w:left="2200" w:hanging="2200" w:hangingChars="500"/>
        <w:jc w:val="center"/>
        <w:rPr>
          <w:rFonts w:asciiTheme="minorEastAsia" w:hAnsiTheme="minorEastAsia" w:eastAsiaTheme="minorEastAsia"/>
          <w:b/>
          <w:bCs/>
          <w:color w:val="auto"/>
          <w:sz w:val="44"/>
          <w:szCs w:val="44"/>
        </w:rPr>
      </w:pPr>
      <w:r>
        <w:rPr>
          <w:rFonts w:hint="eastAsia" w:asciiTheme="minorEastAsia" w:hAnsiTheme="minorEastAsia" w:eastAsiaTheme="minorEastAsia"/>
          <w:b/>
          <w:bCs/>
          <w:color w:val="auto"/>
          <w:sz w:val="44"/>
          <w:szCs w:val="44"/>
        </w:rPr>
        <w:t>考评管理办法</w:t>
      </w:r>
      <w:r>
        <w:rPr>
          <w:rFonts w:hint="eastAsia" w:asciiTheme="minorEastAsia" w:hAnsiTheme="minorEastAsia" w:eastAsiaTheme="minorEastAsia"/>
          <w:b/>
          <w:bCs/>
          <w:color w:val="auto"/>
          <w:sz w:val="44"/>
          <w:szCs w:val="44"/>
        </w:rPr>
        <w:t>（</w:t>
      </w:r>
      <w:r>
        <w:rPr>
          <w:rFonts w:hint="eastAsia" w:asciiTheme="minorEastAsia" w:hAnsiTheme="minorEastAsia" w:eastAsiaTheme="minorEastAsia"/>
          <w:b/>
          <w:bCs/>
          <w:color w:val="auto"/>
          <w:sz w:val="44"/>
          <w:szCs w:val="44"/>
          <w:lang w:val="en-US" w:eastAsia="zh-CN"/>
        </w:rPr>
        <w:t>暂行</w:t>
      </w:r>
      <w:r>
        <w:rPr>
          <w:rFonts w:hint="eastAsia" w:asciiTheme="minorEastAsia" w:hAnsiTheme="minorEastAsia" w:eastAsiaTheme="minorEastAsia"/>
          <w:b/>
          <w:bCs/>
          <w:color w:val="auto"/>
          <w:sz w:val="44"/>
          <w:szCs w:val="44"/>
        </w:rPr>
        <w:t>）</w:t>
      </w:r>
      <w:r>
        <w:rPr>
          <w:rFonts w:hint="eastAsia" w:asciiTheme="minorEastAsia" w:hAnsiTheme="minorEastAsia" w:eastAsiaTheme="minorEastAsia"/>
          <w:b/>
          <w:bCs/>
          <w:color w:val="auto"/>
          <w:sz w:val="44"/>
          <w:szCs w:val="44"/>
        </w:rPr>
        <w:t>》的通知</w:t>
      </w:r>
    </w:p>
    <w:p>
      <w:pPr>
        <w:widowControl/>
        <w:spacing w:line="240" w:lineRule="auto"/>
        <w:ind w:firstLine="0" w:firstLineChars="0"/>
        <w:rPr>
          <w:rFonts w:asciiTheme="minorEastAsia" w:hAnsiTheme="minorEastAsia" w:eastAsiaTheme="minorEastAsia"/>
          <w:color w:val="auto"/>
          <w:szCs w:val="28"/>
        </w:rPr>
      </w:pPr>
    </w:p>
    <w:p>
      <w:pPr>
        <w:widowControl/>
        <w:spacing w:line="240" w:lineRule="auto"/>
        <w:ind w:firstLine="0" w:firstLineChars="0"/>
        <w:rPr>
          <w:rFonts w:ascii="仿宋" w:hAnsi="仿宋" w:eastAsia="仿宋" w:cs="仿宋"/>
          <w:color w:val="auto"/>
          <w:sz w:val="32"/>
          <w:szCs w:val="32"/>
        </w:rPr>
      </w:pPr>
      <w:r>
        <w:rPr>
          <w:rFonts w:hint="eastAsia" w:ascii="仿宋" w:hAnsi="仿宋" w:eastAsia="仿宋" w:cs="仿宋"/>
          <w:color w:val="auto"/>
          <w:sz w:val="32"/>
          <w:szCs w:val="32"/>
        </w:rPr>
        <w:t>各有关行政监督部门、</w:t>
      </w:r>
      <w:r>
        <w:rPr>
          <w:rFonts w:hint="eastAsia" w:ascii="仿宋" w:hAnsi="仿宋" w:eastAsia="仿宋" w:cs="仿宋"/>
          <w:color w:val="auto"/>
          <w:sz w:val="32"/>
          <w:szCs w:val="32"/>
          <w:lang w:val="en-US" w:eastAsia="zh-CN"/>
        </w:rPr>
        <w:t>项目单位、公共资源</w:t>
      </w:r>
      <w:r>
        <w:rPr>
          <w:rFonts w:hint="eastAsia" w:ascii="仿宋" w:hAnsi="仿宋" w:eastAsia="仿宋" w:cs="仿宋"/>
          <w:color w:val="auto"/>
          <w:sz w:val="32"/>
          <w:szCs w:val="32"/>
          <w:lang w:eastAsia="zh-CN"/>
        </w:rPr>
        <w:t>交易中心</w:t>
      </w:r>
      <w:r>
        <w:rPr>
          <w:rFonts w:hint="eastAsia" w:ascii="仿宋" w:hAnsi="仿宋" w:eastAsia="仿宋" w:cs="仿宋"/>
          <w:color w:val="auto"/>
          <w:sz w:val="32"/>
          <w:szCs w:val="32"/>
          <w:lang w:val="en-US" w:eastAsia="zh-CN"/>
        </w:rPr>
        <w:t>及代理机构</w:t>
      </w:r>
      <w:r>
        <w:rPr>
          <w:rFonts w:hint="eastAsia" w:ascii="仿宋" w:hAnsi="仿宋" w:eastAsia="仿宋" w:cs="仿宋"/>
          <w:color w:val="auto"/>
          <w:sz w:val="32"/>
          <w:szCs w:val="32"/>
        </w:rPr>
        <w:t>：</w:t>
      </w:r>
    </w:p>
    <w:p>
      <w:pPr>
        <w:widowControl/>
        <w:spacing w:line="240" w:lineRule="auto"/>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现将《</w:t>
      </w:r>
      <w:r>
        <w:rPr>
          <w:rFonts w:hint="eastAsia" w:ascii="仿宋" w:hAnsi="仿宋" w:eastAsia="仿宋" w:cs="仿宋"/>
          <w:color w:val="auto"/>
          <w:sz w:val="32"/>
          <w:szCs w:val="32"/>
        </w:rPr>
        <w:t>滑县公共资源交易进场代理机构考评管理办法</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暂行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》印发给你们，请结合实际，认真贯彻执行。</w:t>
      </w:r>
    </w:p>
    <w:p>
      <w:pPr>
        <w:widowControl/>
        <w:spacing w:line="240" w:lineRule="auto"/>
        <w:ind w:firstLine="0" w:firstLineChars="0"/>
        <w:jc w:val="right"/>
        <w:rPr>
          <w:rFonts w:ascii="仿宋" w:hAnsi="仿宋" w:eastAsia="仿宋" w:cs="仿宋"/>
          <w:color w:val="auto"/>
          <w:sz w:val="32"/>
          <w:szCs w:val="32"/>
        </w:rPr>
      </w:pPr>
    </w:p>
    <w:p>
      <w:pPr>
        <w:widowControl/>
        <w:spacing w:line="240" w:lineRule="auto"/>
        <w:ind w:firstLine="0" w:firstLineChars="0"/>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滑县公共资源交易管理委员会办公室</w:t>
      </w:r>
    </w:p>
    <w:p>
      <w:pPr>
        <w:widowControl/>
        <w:wordWrap w:val="0"/>
        <w:spacing w:line="240" w:lineRule="auto"/>
        <w:ind w:firstLine="0" w:firstLineChars="0"/>
        <w:jc w:val="center"/>
        <w:rPr>
          <w:rFonts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日</w:t>
      </w:r>
    </w:p>
    <w:p>
      <w:pPr>
        <w:ind w:firstLine="198" w:firstLineChars="45"/>
        <w:jc w:val="center"/>
        <w:rPr>
          <w:rFonts w:asciiTheme="minorEastAsia" w:hAnsiTheme="minorEastAsia" w:eastAsiaTheme="minorEastAsia"/>
          <w:color w:val="auto"/>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AndChars" w:linePitch="312" w:charSpace="0"/>
        </w:sectPr>
      </w:pPr>
    </w:p>
    <w:p>
      <w:pPr>
        <w:ind w:firstLine="198" w:firstLineChars="45"/>
        <w:jc w:val="center"/>
        <w:rPr>
          <w:rFonts w:asciiTheme="minorEastAsia" w:hAnsiTheme="minorEastAsia" w:eastAsiaTheme="minorEastAsia"/>
          <w:b w:val="0"/>
          <w:bCs w:val="0"/>
          <w:color w:val="auto"/>
          <w:sz w:val="44"/>
          <w:szCs w:val="44"/>
          <w:u w:val="none"/>
        </w:rPr>
      </w:pPr>
      <w:r>
        <w:rPr>
          <w:rFonts w:hint="eastAsia" w:asciiTheme="minorEastAsia" w:hAnsiTheme="minorEastAsia" w:eastAsiaTheme="minorEastAsia"/>
          <w:b w:val="0"/>
          <w:bCs w:val="0"/>
          <w:color w:val="auto"/>
          <w:sz w:val="44"/>
          <w:szCs w:val="44"/>
          <w:u w:val="none"/>
        </w:rPr>
        <w:t>滑县公共资源交易进场代理机构</w:t>
      </w:r>
    </w:p>
    <w:p>
      <w:pPr>
        <w:ind w:firstLine="198" w:firstLineChars="45"/>
        <w:jc w:val="center"/>
        <w:rPr>
          <w:rFonts w:asciiTheme="minorEastAsia" w:hAnsiTheme="minorEastAsia" w:eastAsiaTheme="minorEastAsia"/>
          <w:b w:val="0"/>
          <w:bCs w:val="0"/>
          <w:color w:val="auto"/>
          <w:sz w:val="44"/>
          <w:szCs w:val="44"/>
          <w:u w:val="none"/>
        </w:rPr>
      </w:pPr>
      <w:r>
        <w:rPr>
          <w:rFonts w:hint="eastAsia" w:asciiTheme="minorEastAsia" w:hAnsiTheme="minorEastAsia" w:eastAsiaTheme="minorEastAsia"/>
          <w:b w:val="0"/>
          <w:bCs w:val="0"/>
          <w:color w:val="auto"/>
          <w:sz w:val="44"/>
          <w:szCs w:val="44"/>
          <w:u w:val="none"/>
        </w:rPr>
        <w:t>考评管理办法</w:t>
      </w:r>
      <w:r>
        <w:rPr>
          <w:rFonts w:hint="eastAsia" w:asciiTheme="minorEastAsia" w:hAnsiTheme="minorEastAsia" w:eastAsiaTheme="minorEastAsia"/>
          <w:b w:val="0"/>
          <w:bCs w:val="0"/>
          <w:color w:val="auto"/>
          <w:sz w:val="44"/>
          <w:szCs w:val="44"/>
          <w:u w:val="none"/>
        </w:rPr>
        <w:t>（暂行）</w:t>
      </w:r>
    </w:p>
    <w:p>
      <w:pPr>
        <w:ind w:firstLine="126" w:firstLineChars="45"/>
        <w:jc w:val="center"/>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第一章  总则</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第一条  为维护正常的交易秩序，进一步规范招标代理机构场内交易行为，提升公共资源交易服务水平，打造更好的营商环境，依据《中华人民共和国招标投标法》、《中华人民共和国政府采购法》等法律法规，结合工作实际，制定本办法。</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第二条  本办法适用于在县公共资源交易平台进场项目代理机构的考评活动。</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 xml:space="preserve">第三条  </w:t>
      </w:r>
      <w:r>
        <w:rPr>
          <w:rFonts w:cs="Times New Roman" w:asciiTheme="minorEastAsia" w:hAnsiTheme="minorEastAsia" w:eastAsiaTheme="minorEastAsia"/>
          <w:b w:val="0"/>
          <w:bCs w:val="0"/>
          <w:color w:val="auto"/>
          <w:sz w:val="32"/>
          <w:szCs w:val="32"/>
          <w:u w:val="none"/>
        </w:rPr>
        <w:t>考评应坚持客观、公正、公开原则</w:t>
      </w:r>
      <w:r>
        <w:rPr>
          <w:rFonts w:hint="eastAsia" w:cs="Times New Roman" w:asciiTheme="minorEastAsia" w:hAnsiTheme="minorEastAsia" w:eastAsiaTheme="minorEastAsia"/>
          <w:b w:val="0"/>
          <w:bCs w:val="0"/>
          <w:color w:val="auto"/>
          <w:sz w:val="32"/>
          <w:szCs w:val="32"/>
          <w:u w:val="none"/>
        </w:rPr>
        <w:t>。</w:t>
      </w:r>
    </w:p>
    <w:p>
      <w:pPr>
        <w:ind w:firstLine="600"/>
        <w:rPr>
          <w:rFonts w:cs="Times New Roman" w:asciiTheme="minorEastAsia" w:hAnsiTheme="minorEastAsia" w:eastAsiaTheme="minorEastAsia"/>
          <w:b w:val="0"/>
          <w:bCs w:val="0"/>
          <w:color w:val="auto"/>
          <w:sz w:val="32"/>
          <w:szCs w:val="32"/>
          <w:u w:val="none"/>
        </w:rPr>
      </w:pPr>
      <w:r>
        <w:rPr>
          <w:rFonts w:hint="eastAsia" w:asciiTheme="minorEastAsia" w:hAnsiTheme="minorEastAsia" w:eastAsiaTheme="minorEastAsia"/>
          <w:b w:val="0"/>
          <w:bCs w:val="0"/>
          <w:color w:val="auto"/>
          <w:sz w:val="30"/>
          <w:szCs w:val="30"/>
          <w:u w:val="none"/>
        </w:rPr>
        <w:t xml:space="preserve">第四条  </w:t>
      </w:r>
      <w:r>
        <w:rPr>
          <w:rFonts w:cs="Times New Roman" w:asciiTheme="minorEastAsia" w:hAnsiTheme="minorEastAsia" w:eastAsiaTheme="minorEastAsia"/>
          <w:b w:val="0"/>
          <w:bCs w:val="0"/>
          <w:color w:val="auto"/>
          <w:sz w:val="32"/>
          <w:szCs w:val="32"/>
          <w:u w:val="none"/>
        </w:rPr>
        <w:t>考评采取日常考评和年度考评相结合的方式进行。</w:t>
      </w:r>
    </w:p>
    <w:p>
      <w:pPr>
        <w:ind w:firstLine="198" w:firstLineChars="66"/>
        <w:jc w:val="center"/>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第二章  考评组织</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第五条  县公共资源交易管理委员会办公室负责考评工作的组织和实施，会同相关行政监督部门对进场代理机构不良行为及时做出相应的处理，并在县公共资源交易平台进行网上公示。</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第六条  监督单位、项目单位、交易中心应当按照《公共资源交易进场代理机构考评细则》（附后）对代理机构场内行为进行记录，并由交易中心汇总后转交县公共资源交易管理委员会办公室。</w:t>
      </w:r>
    </w:p>
    <w:p>
      <w:pPr>
        <w:ind w:firstLine="0" w:firstLineChars="0"/>
        <w:jc w:val="center"/>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第三章  考评内容和结果运用</w:t>
      </w:r>
    </w:p>
    <w:p>
      <w:pPr>
        <w:ind w:firstLine="600"/>
        <w:jc w:val="left"/>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 xml:space="preserve">第七条  </w:t>
      </w:r>
      <w:r>
        <w:rPr>
          <w:rFonts w:cs="Times New Roman" w:asciiTheme="minorEastAsia" w:hAnsiTheme="minorEastAsia" w:eastAsiaTheme="minorEastAsia"/>
          <w:b w:val="0"/>
          <w:bCs w:val="0"/>
          <w:color w:val="auto"/>
          <w:sz w:val="32"/>
          <w:szCs w:val="32"/>
          <w:u w:val="none"/>
        </w:rPr>
        <w:t>日常考评实行一项目一考评，</w:t>
      </w:r>
      <w:r>
        <w:rPr>
          <w:rFonts w:hint="eastAsia" w:asciiTheme="minorEastAsia" w:hAnsiTheme="minorEastAsia" w:eastAsiaTheme="minorEastAsia"/>
          <w:b w:val="0"/>
          <w:bCs w:val="0"/>
          <w:color w:val="auto"/>
          <w:sz w:val="30"/>
          <w:szCs w:val="30"/>
          <w:u w:val="none"/>
        </w:rPr>
        <w:t>代理机构考评内容主要包括业务能力及其场内行为。考评实行百分制，基准分值为100分，以日历年为一个考核周期，考核期间内扣分不清零，次年分数重新计算（公司处于业务提升期或被监督部门暂停业务的，自期满之日起恢复基准分），每月考评情况由县公共资源交易管理委员会办公室汇总后在县公共资源交易平台进行网上公示。</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 xml:space="preserve">第八条  </w:t>
      </w:r>
      <w:r>
        <w:rPr>
          <w:rFonts w:cs="Times New Roman" w:asciiTheme="minorEastAsia" w:hAnsiTheme="minorEastAsia" w:eastAsiaTheme="minorEastAsia"/>
          <w:b w:val="0"/>
          <w:bCs w:val="0"/>
          <w:color w:val="auto"/>
          <w:sz w:val="32"/>
          <w:szCs w:val="32"/>
          <w:u w:val="none"/>
        </w:rPr>
        <w:t>年度考评在日常考评的基础上</w:t>
      </w:r>
      <w:r>
        <w:rPr>
          <w:rFonts w:hint="eastAsia" w:cs="Times New Roman" w:asciiTheme="minorEastAsia" w:hAnsiTheme="minorEastAsia" w:eastAsiaTheme="minorEastAsia"/>
          <w:b w:val="0"/>
          <w:bCs w:val="0"/>
          <w:color w:val="auto"/>
          <w:sz w:val="32"/>
          <w:szCs w:val="32"/>
          <w:u w:val="none"/>
        </w:rPr>
        <w:t>，</w:t>
      </w:r>
      <w:r>
        <w:rPr>
          <w:rFonts w:cs="Times New Roman" w:asciiTheme="minorEastAsia" w:hAnsiTheme="minorEastAsia" w:eastAsiaTheme="minorEastAsia"/>
          <w:b w:val="0"/>
          <w:bCs w:val="0"/>
          <w:color w:val="auto"/>
          <w:sz w:val="32"/>
          <w:szCs w:val="32"/>
          <w:u w:val="none"/>
        </w:rPr>
        <w:t>结合参加业务培训、</w:t>
      </w:r>
      <w:r>
        <w:rPr>
          <w:rFonts w:hint="eastAsia" w:cs="Times New Roman" w:asciiTheme="minorEastAsia" w:hAnsiTheme="minorEastAsia" w:eastAsiaTheme="minorEastAsia"/>
          <w:b w:val="0"/>
          <w:bCs w:val="0"/>
          <w:color w:val="auto"/>
          <w:sz w:val="32"/>
          <w:szCs w:val="32"/>
          <w:u w:val="none"/>
        </w:rPr>
        <w:t>加分等</w:t>
      </w:r>
      <w:r>
        <w:rPr>
          <w:rFonts w:cs="Times New Roman" w:asciiTheme="minorEastAsia" w:hAnsiTheme="minorEastAsia" w:eastAsiaTheme="minorEastAsia"/>
          <w:b w:val="0"/>
          <w:bCs w:val="0"/>
          <w:color w:val="auto"/>
          <w:sz w:val="32"/>
          <w:szCs w:val="32"/>
          <w:u w:val="none"/>
        </w:rPr>
        <w:t>情况进行综合评定</w:t>
      </w:r>
      <w:r>
        <w:rPr>
          <w:rFonts w:hint="eastAsia" w:cs="Times New Roman" w:asciiTheme="minorEastAsia" w:hAnsiTheme="minorEastAsia" w:eastAsiaTheme="minorEastAsia"/>
          <w:b w:val="0"/>
          <w:bCs w:val="0"/>
          <w:color w:val="auto"/>
          <w:sz w:val="32"/>
          <w:szCs w:val="32"/>
          <w:u w:val="none"/>
        </w:rPr>
        <w:t>。</w:t>
      </w:r>
      <w:r>
        <w:rPr>
          <w:rFonts w:hint="eastAsia" w:asciiTheme="minorEastAsia" w:hAnsiTheme="minorEastAsia" w:eastAsiaTheme="minorEastAsia"/>
          <w:b w:val="0"/>
          <w:bCs w:val="0"/>
          <w:color w:val="auto"/>
          <w:sz w:val="30"/>
          <w:szCs w:val="30"/>
          <w:u w:val="none"/>
        </w:rPr>
        <w:t>每年底由县公共资源交易管理委员会办公室对各进场代理机构进行年度综合考评，考评结果在县公共资源交易平台进行网上公示。年度综合考评等级分为：优秀、良好、合格、不合格。全年没有代理过项目的机构暂定为合格标准。</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优秀标准：全年代理项目不低于5个且累计分值</w:t>
      </w:r>
      <w:r>
        <w:rPr>
          <w:rFonts w:hint="eastAsia" w:asciiTheme="minorEastAsia" w:hAnsiTheme="minorEastAsia" w:eastAsiaTheme="minorEastAsia"/>
          <w:b w:val="0"/>
          <w:bCs w:val="0"/>
          <w:color w:val="auto"/>
          <w:sz w:val="30"/>
          <w:szCs w:val="30"/>
          <w:u w:val="none"/>
          <w:lang w:val="en-US" w:eastAsia="zh-CN"/>
        </w:rPr>
        <w:t>不低于</w:t>
      </w:r>
      <w:r>
        <w:rPr>
          <w:rFonts w:hint="eastAsia" w:asciiTheme="minorEastAsia" w:hAnsiTheme="minorEastAsia" w:eastAsiaTheme="minorEastAsia"/>
          <w:b w:val="0"/>
          <w:bCs w:val="0"/>
          <w:color w:val="auto"/>
          <w:sz w:val="30"/>
          <w:szCs w:val="30"/>
          <w:u w:val="none"/>
        </w:rPr>
        <w:t>9</w:t>
      </w:r>
      <w:r>
        <w:rPr>
          <w:rFonts w:hint="eastAsia" w:asciiTheme="minorEastAsia" w:hAnsiTheme="minorEastAsia" w:eastAsiaTheme="minorEastAsia"/>
          <w:b w:val="0"/>
          <w:bCs w:val="0"/>
          <w:color w:val="auto"/>
          <w:sz w:val="30"/>
          <w:szCs w:val="30"/>
          <w:u w:val="none"/>
          <w:lang w:val="en-US" w:eastAsia="zh-CN"/>
        </w:rPr>
        <w:t>5</w:t>
      </w:r>
      <w:r>
        <w:rPr>
          <w:rFonts w:hint="eastAsia" w:asciiTheme="minorEastAsia" w:hAnsiTheme="minorEastAsia" w:eastAsiaTheme="minorEastAsia"/>
          <w:b w:val="0"/>
          <w:bCs w:val="0"/>
          <w:color w:val="auto"/>
          <w:sz w:val="30"/>
          <w:szCs w:val="30"/>
          <w:u w:val="none"/>
        </w:rPr>
        <w:t>分；</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良好标准：全年有代理项目且累计分值不低于</w:t>
      </w:r>
      <w:r>
        <w:rPr>
          <w:rFonts w:hint="eastAsia" w:asciiTheme="minorEastAsia" w:hAnsiTheme="minorEastAsia" w:eastAsiaTheme="minorEastAsia"/>
          <w:b w:val="0"/>
          <w:bCs w:val="0"/>
          <w:color w:val="auto"/>
          <w:sz w:val="30"/>
          <w:szCs w:val="30"/>
          <w:u w:val="none"/>
          <w:lang w:val="en-US" w:eastAsia="zh-CN"/>
        </w:rPr>
        <w:t>8</w:t>
      </w:r>
      <w:r>
        <w:rPr>
          <w:rFonts w:hint="eastAsia" w:asciiTheme="minorEastAsia" w:hAnsiTheme="minorEastAsia" w:eastAsiaTheme="minorEastAsia"/>
          <w:b w:val="0"/>
          <w:bCs w:val="0"/>
          <w:color w:val="auto"/>
          <w:sz w:val="30"/>
          <w:szCs w:val="30"/>
          <w:u w:val="none"/>
        </w:rPr>
        <w:t>5分；</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合格标准：全年无代理项目或者累计分值</w:t>
      </w:r>
      <w:r>
        <w:rPr>
          <w:rFonts w:hint="eastAsia" w:asciiTheme="minorEastAsia" w:hAnsiTheme="minorEastAsia" w:eastAsiaTheme="minorEastAsia"/>
          <w:b w:val="0"/>
          <w:bCs w:val="0"/>
          <w:color w:val="auto"/>
          <w:sz w:val="30"/>
          <w:szCs w:val="30"/>
          <w:u w:val="none"/>
          <w:lang w:val="en-US" w:eastAsia="zh-CN"/>
        </w:rPr>
        <w:t>不低于60分</w:t>
      </w:r>
      <w:r>
        <w:rPr>
          <w:rFonts w:hint="eastAsia" w:asciiTheme="minorEastAsia" w:hAnsiTheme="minorEastAsia" w:eastAsiaTheme="minorEastAsia"/>
          <w:b w:val="0"/>
          <w:bCs w:val="0"/>
          <w:color w:val="auto"/>
          <w:sz w:val="30"/>
          <w:szCs w:val="30"/>
          <w:u w:val="none"/>
        </w:rPr>
        <w:t>；</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不合格标准：全年累计分值60分以下。</w:t>
      </w:r>
    </w:p>
    <w:p>
      <w:pPr>
        <w:numPr>
          <w:ilvl w:val="0"/>
          <w:numId w:val="1"/>
        </w:numPr>
        <w:ind w:firstLine="600"/>
        <w:rPr>
          <w:rFonts w:hint="default" w:asciiTheme="minorEastAsia" w:hAnsiTheme="minorEastAsia" w:eastAsiaTheme="minorEastAsia"/>
          <w:b w:val="0"/>
          <w:bCs w:val="0"/>
          <w:color w:val="auto"/>
          <w:sz w:val="30"/>
          <w:szCs w:val="30"/>
          <w:u w:val="none"/>
          <w:lang w:val="en-US" w:eastAsia="zh-CN"/>
        </w:rPr>
      </w:pPr>
      <w:r>
        <w:rPr>
          <w:rFonts w:hint="eastAsia" w:asciiTheme="minorEastAsia" w:hAnsiTheme="minorEastAsia" w:eastAsiaTheme="minorEastAsia"/>
          <w:b w:val="0"/>
          <w:bCs w:val="0"/>
          <w:color w:val="auto"/>
          <w:sz w:val="30"/>
          <w:szCs w:val="30"/>
          <w:u w:val="none"/>
          <w:lang w:val="en-US" w:eastAsia="zh-CN"/>
        </w:rPr>
        <w:t xml:space="preserve"> 新注册代理公司（两年内未代理业务的视为新注册）需业务素质测评合格后方可开展业务。</w:t>
      </w:r>
    </w:p>
    <w:p>
      <w:pPr>
        <w:numPr>
          <w:ilvl w:val="0"/>
          <w:numId w:val="0"/>
        </w:numPr>
        <w:ind w:firstLine="600" w:firstLineChars="200"/>
        <w:rPr>
          <w:rFonts w:hint="default" w:asciiTheme="minorEastAsia" w:hAnsiTheme="minorEastAsia" w:eastAsiaTheme="minorEastAsia"/>
          <w:b w:val="0"/>
          <w:bCs w:val="0"/>
          <w:color w:val="auto"/>
          <w:sz w:val="30"/>
          <w:szCs w:val="30"/>
          <w:u w:val="none"/>
          <w:lang w:val="en-US" w:eastAsia="zh-CN"/>
        </w:rPr>
      </w:pPr>
      <w:r>
        <w:rPr>
          <w:rFonts w:hint="eastAsia" w:asciiTheme="minorEastAsia" w:hAnsiTheme="minorEastAsia" w:eastAsiaTheme="minorEastAsia"/>
          <w:b w:val="0"/>
          <w:bCs w:val="0"/>
          <w:color w:val="auto"/>
          <w:sz w:val="30"/>
          <w:szCs w:val="30"/>
          <w:u w:val="none"/>
        </w:rPr>
        <w:t>考</w:t>
      </w:r>
      <w:r>
        <w:rPr>
          <w:rFonts w:hint="eastAsia" w:asciiTheme="minorEastAsia" w:hAnsiTheme="minorEastAsia" w:eastAsiaTheme="minorEastAsia"/>
          <w:b w:val="0"/>
          <w:bCs w:val="0"/>
          <w:color w:val="auto"/>
          <w:sz w:val="30"/>
          <w:szCs w:val="30"/>
          <w:u w:val="none"/>
          <w:lang w:val="en-US" w:eastAsia="zh-CN"/>
        </w:rPr>
        <w:t>评</w:t>
      </w:r>
      <w:r>
        <w:rPr>
          <w:rFonts w:hint="eastAsia" w:asciiTheme="minorEastAsia" w:hAnsiTheme="minorEastAsia" w:eastAsiaTheme="minorEastAsia"/>
          <w:b w:val="0"/>
          <w:bCs w:val="0"/>
          <w:color w:val="auto"/>
          <w:sz w:val="30"/>
          <w:szCs w:val="30"/>
          <w:u w:val="none"/>
        </w:rPr>
        <w:t>周期内得分低于60分的，进入6个月的业务学习提升期</w:t>
      </w:r>
      <w:r>
        <w:rPr>
          <w:rFonts w:hint="eastAsia" w:asciiTheme="minorEastAsia" w:hAnsiTheme="minorEastAsia" w:eastAsiaTheme="minorEastAsia"/>
          <w:b w:val="0"/>
          <w:bCs w:val="0"/>
          <w:color w:val="auto"/>
          <w:sz w:val="30"/>
          <w:szCs w:val="30"/>
          <w:u w:val="none"/>
          <w:lang w:eastAsia="zh-CN"/>
        </w:rPr>
        <w:t>，</w:t>
      </w:r>
      <w:r>
        <w:rPr>
          <w:rFonts w:hint="eastAsia" w:asciiTheme="minorEastAsia" w:hAnsiTheme="minorEastAsia" w:eastAsiaTheme="minorEastAsia"/>
          <w:b w:val="0"/>
          <w:bCs w:val="0"/>
          <w:color w:val="auto"/>
          <w:sz w:val="30"/>
          <w:szCs w:val="30"/>
          <w:u w:val="none"/>
          <w:lang w:val="en-US" w:eastAsia="zh-CN"/>
        </w:rPr>
        <w:t>提升期结束后需重新测评</w:t>
      </w:r>
      <w:r>
        <w:rPr>
          <w:rFonts w:hint="eastAsia" w:asciiTheme="minorEastAsia" w:hAnsiTheme="minorEastAsia" w:eastAsiaTheme="minorEastAsia"/>
          <w:b w:val="0"/>
          <w:bCs w:val="0"/>
          <w:color w:val="auto"/>
          <w:sz w:val="30"/>
          <w:szCs w:val="30"/>
          <w:u w:val="none"/>
        </w:rPr>
        <w:t>。</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第十条  县公共资源交易平台在开评标活动中，发现代理机构存在违反法律、法规行为，应当受到行政处罚的，移送相关监督部门处理；行为涉嫌构成犯罪的，由司法机关追究刑事责任。</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被监督部门做出处罚决定的代理机构，1-3年内不得进入我县公共资源交易平台开展交易活动。</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第十一条  各项目单位不得选取处于业务提升期或被监督部门暂停业务的代理机构进场代理项目。</w:t>
      </w:r>
    </w:p>
    <w:p>
      <w:pPr>
        <w:ind w:firstLine="0" w:firstLineChars="0"/>
        <w:jc w:val="center"/>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第四章 考评监督和异议处理</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第十二条  县公共资源交易管理委员会办公室负责督促县公共资源交易平台、各项目单位、各监督单位对进场代理机构的不良行为依据“考评细则”进行记录和扣分。</w:t>
      </w:r>
    </w:p>
    <w:p>
      <w:pPr>
        <w:ind w:firstLine="640"/>
        <w:rPr>
          <w:rFonts w:asciiTheme="minorEastAsia" w:hAnsiTheme="minorEastAsia" w:eastAsiaTheme="minorEastAsia"/>
          <w:b w:val="0"/>
          <w:bCs w:val="0"/>
          <w:color w:val="auto"/>
          <w:sz w:val="30"/>
          <w:szCs w:val="30"/>
          <w:u w:val="none"/>
        </w:rPr>
      </w:pPr>
      <w:r>
        <w:rPr>
          <w:rFonts w:cs="Times New Roman" w:asciiTheme="minorEastAsia" w:hAnsiTheme="minorEastAsia" w:eastAsiaTheme="minorEastAsia"/>
          <w:b w:val="0"/>
          <w:bCs w:val="0"/>
          <w:color w:val="auto"/>
          <w:sz w:val="32"/>
          <w:szCs w:val="32"/>
          <w:u w:val="none"/>
        </w:rPr>
        <w:t>参与考评活动的工作人员弄虚作假、徇私舞弊的，按规定严肃处理。涉嫌违纪违法的，依纪依法追究相关责任。</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第十三条  代理机构对考评有异议的，可在考评结果发布之日起10个工作日内，向县公共资源交易管理委员会办公室提出书面异议申请。</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县公共资源交易管理委员会办公室在受理异议之日起10个工作日内组织复查，并将复查结果书面告知申请人。</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复查结果改变原有计分结果的，应当重新公示。</w:t>
      </w:r>
    </w:p>
    <w:p>
      <w:pPr>
        <w:ind w:firstLine="0" w:firstLineChars="0"/>
        <w:jc w:val="center"/>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第五章  附则</w:t>
      </w:r>
    </w:p>
    <w:p>
      <w:pPr>
        <w:ind w:firstLine="600"/>
        <w:rPr>
          <w:rFonts w:hint="eastAsia"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第十四条  本办法由县公共资源交易管理委员会办公室会同有关部门负责解释。</w:t>
      </w:r>
    </w:p>
    <w:p>
      <w:pPr>
        <w:ind w:firstLine="600"/>
        <w:rPr>
          <w:rFonts w:hint="default" w:asciiTheme="minorEastAsia" w:hAnsiTheme="minorEastAsia" w:eastAsiaTheme="minorEastAsia"/>
          <w:b w:val="0"/>
          <w:bCs w:val="0"/>
          <w:color w:val="auto"/>
          <w:sz w:val="30"/>
          <w:szCs w:val="30"/>
          <w:u w:val="none"/>
          <w:lang w:val="en-US" w:eastAsia="zh-CN"/>
        </w:rPr>
      </w:pPr>
      <w:r>
        <w:rPr>
          <w:rFonts w:hint="eastAsia" w:asciiTheme="minorEastAsia" w:hAnsiTheme="minorEastAsia" w:eastAsiaTheme="minorEastAsia"/>
          <w:b w:val="0"/>
          <w:bCs w:val="0"/>
          <w:color w:val="auto"/>
          <w:sz w:val="30"/>
          <w:szCs w:val="30"/>
          <w:u w:val="none"/>
        </w:rPr>
        <w:t>第十五条</w:t>
      </w:r>
      <w:r>
        <w:rPr>
          <w:rFonts w:hint="eastAsia" w:asciiTheme="minorEastAsia" w:hAnsiTheme="minorEastAsia" w:eastAsiaTheme="minorEastAsia"/>
          <w:b w:val="0"/>
          <w:bCs w:val="0"/>
          <w:color w:val="auto"/>
          <w:sz w:val="30"/>
          <w:szCs w:val="30"/>
          <w:u w:val="none"/>
          <w:lang w:val="en-US" w:eastAsia="zh-CN"/>
        </w:rPr>
        <w:t xml:space="preserve">  上级有新规定的从其规定。</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第十</w:t>
      </w:r>
      <w:r>
        <w:rPr>
          <w:rFonts w:hint="eastAsia" w:asciiTheme="minorEastAsia" w:hAnsiTheme="minorEastAsia" w:eastAsiaTheme="minorEastAsia"/>
          <w:b w:val="0"/>
          <w:bCs w:val="0"/>
          <w:color w:val="auto"/>
          <w:sz w:val="30"/>
          <w:szCs w:val="30"/>
          <w:u w:val="none"/>
          <w:lang w:val="en-US" w:eastAsia="zh-CN"/>
        </w:rPr>
        <w:t>六</w:t>
      </w:r>
      <w:r>
        <w:rPr>
          <w:rFonts w:hint="eastAsia" w:asciiTheme="minorEastAsia" w:hAnsiTheme="minorEastAsia" w:eastAsiaTheme="minorEastAsia"/>
          <w:b w:val="0"/>
          <w:bCs w:val="0"/>
          <w:color w:val="auto"/>
          <w:sz w:val="30"/>
          <w:szCs w:val="30"/>
          <w:u w:val="none"/>
        </w:rPr>
        <w:t>条  本办法自发布之日起施行。</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附件：1.公共资源交易进场代理机构考评细则</w:t>
      </w:r>
    </w:p>
    <w:p>
      <w:pPr>
        <w:ind w:firstLine="600"/>
        <w:rPr>
          <w:rFonts w:asciiTheme="minorEastAsia" w:hAnsiTheme="minorEastAsia" w:eastAsiaTheme="minorEastAsia"/>
          <w:b w:val="0"/>
          <w:bCs w:val="0"/>
          <w:color w:val="auto"/>
          <w:sz w:val="30"/>
          <w:szCs w:val="30"/>
          <w:u w:val="none"/>
        </w:rPr>
      </w:pPr>
      <w:r>
        <w:rPr>
          <w:rFonts w:hint="eastAsia" w:asciiTheme="minorEastAsia" w:hAnsiTheme="minorEastAsia" w:eastAsiaTheme="minorEastAsia"/>
          <w:b w:val="0"/>
          <w:bCs w:val="0"/>
          <w:color w:val="auto"/>
          <w:sz w:val="30"/>
          <w:szCs w:val="30"/>
          <w:u w:val="none"/>
        </w:rPr>
        <w:t xml:space="preserve">      2.代理机构服务考评表</w:t>
      </w:r>
    </w:p>
    <w:p>
      <w:pPr>
        <w:ind w:firstLine="0" w:firstLineChars="0"/>
        <w:rPr>
          <w:rFonts w:asciiTheme="minorEastAsia" w:hAnsiTheme="minorEastAsia" w:eastAsiaTheme="minorEastAsia"/>
          <w:b w:val="0"/>
          <w:bCs w:val="0"/>
          <w:color w:val="auto"/>
          <w:sz w:val="30"/>
          <w:szCs w:val="30"/>
          <w:u w:val="none"/>
        </w:rPr>
        <w:sectPr>
          <w:headerReference r:id="rId9"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AndChars" w:linePitch="312" w:charSpace="0"/>
        </w:sectPr>
      </w:pPr>
    </w:p>
    <w:p>
      <w:pPr>
        <w:ind w:firstLine="0" w:firstLineChars="0"/>
        <w:rPr>
          <w:rFonts w:asciiTheme="minorEastAsia" w:hAnsiTheme="minorEastAsia" w:eastAsiaTheme="minorEastAsia"/>
          <w:b w:val="0"/>
          <w:bCs w:val="0"/>
          <w:color w:val="auto"/>
          <w:sz w:val="28"/>
          <w:szCs w:val="28"/>
          <w:u w:val="none"/>
        </w:rPr>
      </w:pPr>
      <w:r>
        <w:rPr>
          <w:rFonts w:hint="eastAsia" w:asciiTheme="minorEastAsia" w:hAnsiTheme="minorEastAsia" w:eastAsiaTheme="minorEastAsia"/>
          <w:b w:val="0"/>
          <w:bCs w:val="0"/>
          <w:color w:val="auto"/>
          <w:sz w:val="28"/>
          <w:szCs w:val="28"/>
          <w:u w:val="none"/>
        </w:rPr>
        <w:t>附件1：</w:t>
      </w:r>
    </w:p>
    <w:p>
      <w:pPr>
        <w:ind w:firstLine="0" w:firstLineChars="0"/>
        <w:jc w:val="center"/>
        <w:rPr>
          <w:rFonts w:asciiTheme="minorEastAsia" w:hAnsiTheme="minorEastAsia" w:eastAsiaTheme="minorEastAsia"/>
          <w:b w:val="0"/>
          <w:bCs w:val="0"/>
          <w:color w:val="auto"/>
          <w:sz w:val="44"/>
          <w:szCs w:val="44"/>
          <w:u w:val="none"/>
        </w:rPr>
      </w:pPr>
      <w:r>
        <w:rPr>
          <w:rFonts w:hint="eastAsia" w:asciiTheme="minorEastAsia" w:hAnsiTheme="minorEastAsia" w:eastAsiaTheme="minorEastAsia"/>
          <w:b w:val="0"/>
          <w:bCs w:val="0"/>
          <w:color w:val="auto"/>
          <w:sz w:val="44"/>
          <w:szCs w:val="44"/>
          <w:u w:val="none"/>
        </w:rPr>
        <w:t>公共资源交易进场代理机构考评细则</w:t>
      </w:r>
    </w:p>
    <w:p>
      <w:pPr>
        <w:ind w:firstLine="560"/>
        <w:rPr>
          <w:rFonts w:hint="eastAsia" w:asciiTheme="minorEastAsia" w:hAnsiTheme="minorEastAsia" w:eastAsiaTheme="minorEastAsia"/>
          <w:b w:val="0"/>
          <w:bCs w:val="0"/>
          <w:color w:val="auto"/>
          <w:szCs w:val="28"/>
          <w:u w:val="none"/>
          <w:lang w:eastAsia="zh-CN"/>
        </w:rPr>
      </w:pPr>
      <w:r>
        <w:rPr>
          <w:rFonts w:hint="eastAsia" w:asciiTheme="minorEastAsia" w:hAnsiTheme="minorEastAsia" w:eastAsiaTheme="minorEastAsia"/>
          <w:b w:val="0"/>
          <w:bCs w:val="0"/>
          <w:color w:val="auto"/>
          <w:szCs w:val="28"/>
          <w:u w:val="none"/>
        </w:rPr>
        <w:t>一、招标代理机构出现以下情形的，年度综合考评进行加分</w:t>
      </w:r>
      <w:r>
        <w:rPr>
          <w:rFonts w:hint="eastAsia" w:asciiTheme="minorEastAsia" w:hAnsiTheme="minorEastAsia" w:eastAsiaTheme="minorEastAsia"/>
          <w:b w:val="0"/>
          <w:bCs w:val="0"/>
          <w:color w:val="auto"/>
          <w:szCs w:val="28"/>
          <w:u w:val="none"/>
          <w:lang w:eastAsia="zh-CN"/>
        </w:rPr>
        <w:t>。</w:t>
      </w:r>
    </w:p>
    <w:p>
      <w:pPr>
        <w:spacing w:line="520" w:lineRule="exact"/>
        <w:ind w:firstLine="560"/>
        <w:jc w:val="left"/>
        <w:rPr>
          <w:rFonts w:hint="eastAsia" w:asciiTheme="minorEastAsia" w:hAnsiTheme="minorEastAsia" w:eastAsiaTheme="minorEastAsia"/>
          <w:b w:val="0"/>
          <w:bCs w:val="0"/>
          <w:color w:val="auto"/>
          <w:szCs w:val="28"/>
          <w:u w:val="none"/>
          <w:lang w:eastAsia="zh-CN"/>
        </w:rPr>
      </w:pPr>
      <w:r>
        <w:rPr>
          <w:rFonts w:hint="eastAsia" w:asciiTheme="minorEastAsia" w:hAnsiTheme="minorEastAsia" w:eastAsiaTheme="minorEastAsia"/>
          <w:b w:val="0"/>
          <w:bCs w:val="0"/>
          <w:color w:val="auto"/>
          <w:szCs w:val="28"/>
          <w:u w:val="none"/>
        </w:rPr>
        <w:t>1、提供书面合理化建议经县公共资源交易管理委员会办公室研究采纳的，每次加5分</w:t>
      </w:r>
      <w:r>
        <w:rPr>
          <w:rFonts w:hint="eastAsia" w:asciiTheme="minorEastAsia" w:hAnsiTheme="minorEastAsia" w:eastAsiaTheme="minorEastAsia"/>
          <w:b w:val="0"/>
          <w:bCs w:val="0"/>
          <w:color w:val="auto"/>
          <w:szCs w:val="28"/>
          <w:u w:val="none"/>
          <w:lang w:eastAsia="zh-CN"/>
        </w:rPr>
        <w:t>。</w:t>
      </w:r>
    </w:p>
    <w:p>
      <w:pPr>
        <w:spacing w:line="520" w:lineRule="exact"/>
        <w:ind w:firstLine="560"/>
        <w:jc w:val="left"/>
        <w:rPr>
          <w:rFonts w:hint="eastAsia" w:asciiTheme="minorEastAsia" w:hAnsiTheme="minorEastAsia" w:eastAsiaTheme="minorEastAsia"/>
          <w:b w:val="0"/>
          <w:bCs w:val="0"/>
          <w:color w:val="auto"/>
          <w:szCs w:val="28"/>
          <w:u w:val="none"/>
          <w:lang w:eastAsia="zh-CN"/>
        </w:rPr>
      </w:pPr>
      <w:r>
        <w:rPr>
          <w:rFonts w:hint="eastAsia" w:asciiTheme="minorEastAsia" w:hAnsiTheme="minorEastAsia" w:eastAsiaTheme="minorEastAsia"/>
          <w:b w:val="0"/>
          <w:bCs w:val="0"/>
          <w:color w:val="auto"/>
          <w:szCs w:val="28"/>
          <w:u w:val="none"/>
        </w:rPr>
        <w:t>2、单次项目代理金额亿元</w:t>
      </w:r>
      <w:r>
        <w:rPr>
          <w:rFonts w:hint="eastAsia" w:asciiTheme="minorEastAsia" w:hAnsiTheme="minorEastAsia" w:eastAsiaTheme="minorEastAsia"/>
          <w:b w:val="0"/>
          <w:bCs w:val="0"/>
          <w:color w:val="auto"/>
          <w:szCs w:val="28"/>
          <w:u w:val="none"/>
          <w:lang w:val="en-US" w:eastAsia="zh-CN"/>
        </w:rPr>
        <w:t>以上的</w:t>
      </w:r>
      <w:r>
        <w:rPr>
          <w:rFonts w:hint="eastAsia" w:asciiTheme="minorEastAsia" w:hAnsiTheme="minorEastAsia" w:eastAsiaTheme="minorEastAsia"/>
          <w:b w:val="0"/>
          <w:bCs w:val="0"/>
          <w:color w:val="auto"/>
          <w:szCs w:val="28"/>
          <w:u w:val="none"/>
        </w:rPr>
        <w:t>一次性顺利开评标且代理过程中无过错的，每次加5分</w:t>
      </w:r>
      <w:r>
        <w:rPr>
          <w:rFonts w:hint="eastAsia" w:asciiTheme="minorEastAsia" w:hAnsiTheme="minorEastAsia" w:eastAsiaTheme="minorEastAsia"/>
          <w:b w:val="0"/>
          <w:bCs w:val="0"/>
          <w:color w:val="auto"/>
          <w:szCs w:val="28"/>
          <w:u w:val="none"/>
          <w:lang w:eastAsia="zh-CN"/>
        </w:rPr>
        <w:t>。</w:t>
      </w:r>
    </w:p>
    <w:p>
      <w:pPr>
        <w:spacing w:line="520" w:lineRule="exact"/>
        <w:ind w:firstLine="560"/>
        <w:jc w:val="left"/>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3、全年代理项目不低于</w:t>
      </w:r>
      <w:r>
        <w:rPr>
          <w:rFonts w:hint="eastAsia" w:asciiTheme="minorEastAsia" w:hAnsiTheme="minorEastAsia" w:eastAsiaTheme="minorEastAsia"/>
          <w:b w:val="0"/>
          <w:bCs w:val="0"/>
          <w:color w:val="auto"/>
          <w:szCs w:val="28"/>
          <w:u w:val="none"/>
          <w:lang w:val="en-US" w:eastAsia="zh-CN"/>
        </w:rPr>
        <w:t>5</w:t>
      </w:r>
      <w:r>
        <w:rPr>
          <w:rFonts w:hint="eastAsia" w:asciiTheme="minorEastAsia" w:hAnsiTheme="minorEastAsia" w:eastAsiaTheme="minorEastAsia"/>
          <w:b w:val="0"/>
          <w:bCs w:val="0"/>
          <w:color w:val="auto"/>
          <w:szCs w:val="28"/>
          <w:u w:val="none"/>
        </w:rPr>
        <w:t>个且年度累计分值不低于9</w:t>
      </w:r>
      <w:r>
        <w:rPr>
          <w:rFonts w:hint="eastAsia" w:asciiTheme="minorEastAsia" w:hAnsiTheme="minorEastAsia" w:eastAsiaTheme="minorEastAsia"/>
          <w:b w:val="0"/>
          <w:bCs w:val="0"/>
          <w:color w:val="auto"/>
          <w:szCs w:val="28"/>
          <w:u w:val="none"/>
          <w:lang w:val="en-US" w:eastAsia="zh-CN"/>
        </w:rPr>
        <w:t>5</w:t>
      </w:r>
      <w:r>
        <w:rPr>
          <w:rFonts w:hint="eastAsia" w:asciiTheme="minorEastAsia" w:hAnsiTheme="minorEastAsia" w:eastAsiaTheme="minorEastAsia"/>
          <w:b w:val="0"/>
          <w:bCs w:val="0"/>
          <w:color w:val="auto"/>
          <w:szCs w:val="28"/>
          <w:u w:val="none"/>
        </w:rPr>
        <w:t>分的，加</w:t>
      </w:r>
      <w:r>
        <w:rPr>
          <w:rFonts w:hint="eastAsia" w:asciiTheme="minorEastAsia" w:hAnsiTheme="minorEastAsia" w:eastAsiaTheme="minorEastAsia"/>
          <w:b w:val="0"/>
          <w:bCs w:val="0"/>
          <w:color w:val="auto"/>
          <w:szCs w:val="28"/>
          <w:u w:val="none"/>
          <w:lang w:val="en-US" w:eastAsia="zh-CN"/>
        </w:rPr>
        <w:t>5</w:t>
      </w:r>
      <w:r>
        <w:rPr>
          <w:rFonts w:hint="eastAsia" w:asciiTheme="minorEastAsia" w:hAnsiTheme="minorEastAsia" w:eastAsiaTheme="minorEastAsia"/>
          <w:b w:val="0"/>
          <w:bCs w:val="0"/>
          <w:color w:val="auto"/>
          <w:szCs w:val="28"/>
          <w:u w:val="none"/>
        </w:rPr>
        <w:t>分</w:t>
      </w:r>
      <w:r>
        <w:rPr>
          <w:rFonts w:hint="eastAsia" w:asciiTheme="minorEastAsia" w:hAnsiTheme="minorEastAsia" w:eastAsiaTheme="minorEastAsia"/>
          <w:b w:val="0"/>
          <w:bCs w:val="0"/>
          <w:color w:val="auto"/>
          <w:szCs w:val="28"/>
          <w:u w:val="none"/>
          <w:lang w:val="en-US" w:eastAsia="zh-CN"/>
        </w:rPr>
        <w:t>;</w:t>
      </w:r>
      <w:r>
        <w:rPr>
          <w:rFonts w:hint="eastAsia" w:asciiTheme="minorEastAsia" w:hAnsiTheme="minorEastAsia" w:eastAsiaTheme="minorEastAsia"/>
          <w:b w:val="0"/>
          <w:bCs w:val="0"/>
          <w:color w:val="auto"/>
          <w:szCs w:val="28"/>
          <w:u w:val="none"/>
        </w:rPr>
        <w:t>全年代理项目不低于</w:t>
      </w:r>
      <w:r>
        <w:rPr>
          <w:rFonts w:hint="eastAsia" w:asciiTheme="minorEastAsia" w:hAnsiTheme="minorEastAsia" w:eastAsiaTheme="minorEastAsia"/>
          <w:b w:val="0"/>
          <w:bCs w:val="0"/>
          <w:color w:val="auto"/>
          <w:szCs w:val="28"/>
          <w:u w:val="none"/>
          <w:lang w:val="en-US" w:eastAsia="zh-CN"/>
        </w:rPr>
        <w:t>10</w:t>
      </w:r>
      <w:r>
        <w:rPr>
          <w:rFonts w:hint="eastAsia" w:asciiTheme="minorEastAsia" w:hAnsiTheme="minorEastAsia" w:eastAsiaTheme="minorEastAsia"/>
          <w:b w:val="0"/>
          <w:bCs w:val="0"/>
          <w:color w:val="auto"/>
          <w:szCs w:val="28"/>
          <w:u w:val="none"/>
        </w:rPr>
        <w:t>个且年度累计分值不低于9</w:t>
      </w:r>
      <w:r>
        <w:rPr>
          <w:rFonts w:hint="eastAsia" w:asciiTheme="minorEastAsia" w:hAnsiTheme="minorEastAsia" w:eastAsiaTheme="minorEastAsia"/>
          <w:b w:val="0"/>
          <w:bCs w:val="0"/>
          <w:color w:val="auto"/>
          <w:szCs w:val="28"/>
          <w:u w:val="none"/>
          <w:lang w:val="en-US" w:eastAsia="zh-CN"/>
        </w:rPr>
        <w:t>5</w:t>
      </w:r>
      <w:r>
        <w:rPr>
          <w:rFonts w:hint="eastAsia" w:asciiTheme="minorEastAsia" w:hAnsiTheme="minorEastAsia" w:eastAsiaTheme="minorEastAsia"/>
          <w:b w:val="0"/>
          <w:bCs w:val="0"/>
          <w:color w:val="auto"/>
          <w:szCs w:val="28"/>
          <w:u w:val="none"/>
        </w:rPr>
        <w:t>分的，加</w:t>
      </w:r>
      <w:r>
        <w:rPr>
          <w:rFonts w:hint="eastAsia" w:asciiTheme="minorEastAsia" w:hAnsiTheme="minorEastAsia" w:eastAsiaTheme="minorEastAsia"/>
          <w:b w:val="0"/>
          <w:bCs w:val="0"/>
          <w:color w:val="auto"/>
          <w:szCs w:val="28"/>
          <w:u w:val="none"/>
          <w:lang w:val="en-US" w:eastAsia="zh-CN"/>
        </w:rPr>
        <w:t>10</w:t>
      </w:r>
      <w:r>
        <w:rPr>
          <w:rFonts w:hint="eastAsia" w:asciiTheme="minorEastAsia" w:hAnsiTheme="minorEastAsia" w:eastAsiaTheme="minorEastAsia"/>
          <w:b w:val="0"/>
          <w:bCs w:val="0"/>
          <w:color w:val="auto"/>
          <w:szCs w:val="28"/>
          <w:u w:val="none"/>
        </w:rPr>
        <w:t>分。</w:t>
      </w:r>
    </w:p>
    <w:p>
      <w:pPr>
        <w:spacing w:line="520" w:lineRule="exact"/>
        <w:ind w:firstLine="560"/>
        <w:jc w:val="left"/>
        <w:rPr>
          <w:rFonts w:hint="eastAsia" w:asciiTheme="minorEastAsia" w:hAnsiTheme="minorEastAsia" w:eastAsiaTheme="minorEastAsia"/>
          <w:b w:val="0"/>
          <w:bCs w:val="0"/>
          <w:color w:val="auto"/>
          <w:szCs w:val="28"/>
          <w:u w:val="none"/>
          <w:lang w:eastAsia="zh-CN"/>
        </w:rPr>
      </w:pPr>
      <w:r>
        <w:rPr>
          <w:rFonts w:hint="eastAsia" w:asciiTheme="minorEastAsia" w:hAnsiTheme="minorEastAsia" w:eastAsiaTheme="minorEastAsia"/>
          <w:b w:val="0"/>
          <w:bCs w:val="0"/>
          <w:color w:val="auto"/>
          <w:szCs w:val="28"/>
          <w:u w:val="none"/>
        </w:rPr>
        <w:t>二、招标代理机构出现以下所列</w:t>
      </w:r>
      <w:r>
        <w:rPr>
          <w:rFonts w:hint="eastAsia" w:asciiTheme="minorEastAsia" w:hAnsiTheme="minorEastAsia" w:eastAsiaTheme="minorEastAsia"/>
          <w:b w:val="0"/>
          <w:bCs w:val="0"/>
          <w:color w:val="auto"/>
          <w:szCs w:val="28"/>
          <w:u w:val="none"/>
          <w:lang w:val="en-US" w:eastAsia="zh-CN"/>
        </w:rPr>
        <w:t>不良行为</w:t>
      </w:r>
      <w:r>
        <w:rPr>
          <w:rFonts w:hint="eastAsia" w:asciiTheme="minorEastAsia" w:hAnsiTheme="minorEastAsia" w:eastAsiaTheme="minorEastAsia"/>
          <w:b w:val="0"/>
          <w:bCs w:val="0"/>
          <w:color w:val="auto"/>
          <w:szCs w:val="28"/>
          <w:u w:val="none"/>
        </w:rPr>
        <w:t>的，交易中心、项目单位、监督部门根据相应情况进行扣分</w:t>
      </w:r>
      <w:r>
        <w:rPr>
          <w:rFonts w:hint="eastAsia" w:asciiTheme="minorEastAsia" w:hAnsiTheme="minorEastAsia" w:eastAsiaTheme="minorEastAsia"/>
          <w:b w:val="0"/>
          <w:bCs w:val="0"/>
          <w:color w:val="auto"/>
          <w:szCs w:val="28"/>
          <w:u w:val="none"/>
          <w:lang w:eastAsia="zh-CN"/>
        </w:rPr>
        <w:t>。</w:t>
      </w:r>
    </w:p>
    <w:tbl>
      <w:tblPr>
        <w:tblStyle w:val="7"/>
        <w:tblW w:w="9241" w:type="dxa"/>
        <w:jc w:val="center"/>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7"/>
        <w:gridCol w:w="6172"/>
        <w:gridCol w:w="64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9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环节</w:t>
            </w:r>
          </w:p>
        </w:tc>
        <w:tc>
          <w:tcPr>
            <w:tcW w:w="673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考评内容</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扣分</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公告发布和</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文件制作</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公告或文件中出现错别字、个别错误、排版混乱、内容不完善</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出现多处</w:t>
            </w:r>
            <w:r>
              <w:rPr>
                <w:rFonts w:hint="eastAsia" w:asciiTheme="minorEastAsia" w:hAnsiTheme="minorEastAsia" w:eastAsiaTheme="minorEastAsia"/>
                <w:b w:val="0"/>
                <w:bCs w:val="0"/>
                <w:color w:val="auto"/>
                <w:u w:val="none"/>
                <w:lang w:val="en-US" w:eastAsia="zh-CN"/>
              </w:rPr>
              <w:t>不同错误的</w:t>
            </w:r>
            <w:r>
              <w:rPr>
                <w:rFonts w:hint="eastAsia" w:asciiTheme="minorEastAsia" w:hAnsiTheme="minorEastAsia" w:eastAsiaTheme="minorEastAsia"/>
                <w:b w:val="0"/>
                <w:bCs w:val="0"/>
                <w:color w:val="auto"/>
                <w:u w:val="none"/>
              </w:rPr>
              <w:t>，按数量累计扣分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发布媒介不符合规定或内容实质性差错</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3</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未附电子标的温馨提示造成不良影响</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4</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未对投标文件制作机器码一致时处理办法作出明确说明造成不良影响</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5</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因代理机构错误导致发布变更或更正</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6</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变更招标文件或工程量清单时，未提醒投标人重新下载文件或清单造成不良影响</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7</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对投标人提出的疑问，不积极解答，推诿扯皮</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eastAsia="宋体"/>
                <w:b w:val="0"/>
                <w:bCs w:val="0"/>
                <w:color w:val="auto"/>
                <w:u w:val="none"/>
                <w:lang w:val="en-US" w:eastAsia="zh-CN"/>
              </w:rPr>
            </w:pPr>
            <w:r>
              <w:rPr>
                <w:rFonts w:hint="eastAsia"/>
                <w:b w:val="0"/>
                <w:bCs w:val="0"/>
                <w:color w:val="auto"/>
                <w:u w:val="none"/>
                <w:lang w:val="en-US" w:eastAsia="zh-CN"/>
              </w:rPr>
              <w:t>现场情况</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8</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代理机构人员开标过程不佩戴工作牌，未及时向业主和监督发放、回收工作牌</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9</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招标项目开评标现场注册工作人员不足三名；非招标项目开评标现场注册工作人员不足两名</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10</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擅自离岗，影响开评标工作</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11</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szCs w:val="28"/>
                <w:u w:val="none"/>
              </w:rPr>
              <w:t>开评标现场秩序混乱，未有效执行开评标纪律，未能及时制止投标人不当行为</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0" w:firstLineChars="0"/>
              <w:jc w:val="center"/>
              <w:textAlignment w:val="auto"/>
              <w:rPr>
                <w:rFonts w:asciiTheme="minorEastAsia" w:hAnsiTheme="minorEastAsia" w:eastAsiaTheme="minorEastAsia"/>
                <w:b w:val="0"/>
                <w:bCs w:val="0"/>
                <w:color w:val="auto"/>
                <w:u w:val="none"/>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12</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不服从交易平台场内管理规定</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13</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代理机构人员设置或操作不当导致无法顺利开标及解密</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14</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全电子投标文件格式内容、签字盖章等要求与电子招投标实际操作要求不相符合</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15</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重点项目组织不力，导致流标</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20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16</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评标设置、评分细则不完善等问题，致使评标专家无法实施正常评审</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20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17</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招标文件存在歧义、重大瑕疵、自相矛盾、评分细则设置不完善等问题，致使评标专家无法实施正常评审</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20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18</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发表不正当言论或其他方式影响公正评审</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20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19</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在评委进入评标区前与评委私下接触，有可能影响评标公正性</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40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20</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服务态度恶劣，与投标人或评审专家发生争吵，造成不良影响</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21</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szCs w:val="28"/>
                <w:u w:val="none"/>
              </w:rPr>
              <w:t>开评标时发现违法违规行为未及时阻止或不主动报告</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22</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由于代理机构原因导致影响交易平台其他项目正常开展</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23</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开评标结束后，未恢复室内卫生秩序、未关闭电源开关</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24</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未及时发布评标公示、结果公告或信息不完整</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25</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项目结束后不及时移交文件、汇总资料，不及时进行电子归档</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其他环节评价</w:t>
            </w: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26</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Theme="minorEastAsia" w:hAnsiTheme="minorEastAsia" w:eastAsiaTheme="minorEastAsia"/>
                <w:b w:val="0"/>
                <w:bCs w:val="0"/>
                <w:color w:val="auto"/>
                <w:u w:val="none"/>
                <w:lang w:eastAsia="zh-CN"/>
              </w:rPr>
            </w:pPr>
            <w:r>
              <w:rPr>
                <w:rFonts w:hint="eastAsia" w:asciiTheme="minorEastAsia" w:hAnsiTheme="minorEastAsia" w:eastAsiaTheme="minorEastAsia"/>
                <w:b w:val="0"/>
                <w:bCs w:val="0"/>
                <w:color w:val="auto"/>
                <w:u w:val="none"/>
              </w:rPr>
              <w:t>行政监督部门、招标人对代理机构在单个环节考评</w:t>
            </w:r>
            <w:r>
              <w:rPr>
                <w:rFonts w:hint="eastAsia" w:asciiTheme="minorEastAsia" w:hAnsiTheme="minorEastAsia" w:eastAsiaTheme="minorEastAsia"/>
                <w:b w:val="0"/>
                <w:bCs w:val="0"/>
                <w:color w:val="auto"/>
                <w:u w:val="none"/>
                <w:lang w:val="en-US" w:eastAsia="zh-CN"/>
              </w:rPr>
              <w:t>满意度</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lang w:val="en-US" w:eastAsia="zh-CN"/>
              </w:rPr>
              <w:t>0-</w:t>
            </w: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27</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由于代理机构原因，形成实质性投诉或质疑而影响项目进展</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20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9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p>
        </w:tc>
        <w:tc>
          <w:tcPr>
            <w:tcW w:w="5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Cs w:val="28"/>
                <w:u w:val="none"/>
              </w:rPr>
              <w:t>28</w:t>
            </w:r>
          </w:p>
        </w:tc>
        <w:tc>
          <w:tcPr>
            <w:tcW w:w="61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由于代理机构自身原因出现错误，导致被省公共资源交易在线监管平台预警</w:t>
            </w:r>
          </w:p>
        </w:tc>
        <w:tc>
          <w:tcPr>
            <w:tcW w:w="6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r>
              <w:rPr>
                <w:rFonts w:hint="eastAsia" w:asciiTheme="minorEastAsia" w:hAnsiTheme="minorEastAsia" w:eastAsiaTheme="minorEastAsia"/>
                <w:b w:val="0"/>
                <w:bCs w:val="0"/>
                <w:color w:val="auto"/>
                <w:u w:val="none"/>
              </w:rPr>
              <w:t>10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asciiTheme="minorEastAsia" w:hAnsiTheme="minorEastAsia" w:eastAsiaTheme="minorEastAsia"/>
                <w:b w:val="0"/>
                <w:bCs w:val="0"/>
                <w:color w:val="auto"/>
                <w:u w:val="none"/>
              </w:rPr>
            </w:pPr>
          </w:p>
        </w:tc>
      </w:tr>
    </w:tbl>
    <w:p>
      <w:pPr>
        <w:widowControl/>
        <w:spacing w:line="240" w:lineRule="auto"/>
        <w:ind w:firstLine="0" w:firstLineChars="0"/>
        <w:jc w:val="left"/>
        <w:rPr>
          <w:rFonts w:hint="eastAsia" w:asciiTheme="minorEastAsia" w:hAnsiTheme="minorEastAsia" w:eastAsiaTheme="minorEastAsia"/>
          <w:b w:val="0"/>
          <w:bCs w:val="0"/>
          <w:color w:val="auto"/>
          <w:szCs w:val="28"/>
          <w:u w:val="none"/>
        </w:rPr>
        <w:sectPr>
          <w:footerReference r:id="rId11" w:type="default"/>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AndChars" w:linePitch="312" w:charSpace="0"/>
        </w:sectPr>
      </w:pPr>
    </w:p>
    <w:p>
      <w:pPr>
        <w:ind w:left="0" w:leftChars="0" w:firstLine="0" w:firstLineChars="0"/>
        <w:jc w:val="both"/>
        <w:rPr>
          <w:rFonts w:asciiTheme="minorEastAsia" w:hAnsiTheme="minorEastAsia" w:eastAsiaTheme="minorEastAsia"/>
          <w:b w:val="0"/>
          <w:bCs w:val="0"/>
          <w:color w:val="auto"/>
          <w:sz w:val="44"/>
          <w:szCs w:val="44"/>
          <w:u w:val="none"/>
        </w:rPr>
      </w:pPr>
      <w:r>
        <w:rPr>
          <w:rFonts w:hint="eastAsia" w:asciiTheme="minorEastAsia" w:hAnsiTheme="minorEastAsia" w:eastAsiaTheme="minorEastAsia"/>
          <w:b w:val="0"/>
          <w:bCs w:val="0"/>
          <w:color w:val="auto"/>
          <w:sz w:val="32"/>
          <w:szCs w:val="32"/>
          <w:u w:val="none"/>
          <w:lang w:val="en-US" w:eastAsia="zh-CN"/>
        </w:rPr>
        <w:t xml:space="preserve">附件2:                           </w:t>
      </w:r>
      <w:r>
        <w:rPr>
          <w:rFonts w:hint="eastAsia" w:asciiTheme="minorEastAsia" w:hAnsiTheme="minorEastAsia" w:eastAsiaTheme="minorEastAsia"/>
          <w:b w:val="0"/>
          <w:bCs w:val="0"/>
          <w:color w:val="auto"/>
          <w:sz w:val="44"/>
          <w:szCs w:val="44"/>
          <w:u w:val="none"/>
        </w:rPr>
        <w:t>代理机构服务考评表</w:t>
      </w:r>
    </w:p>
    <w:tbl>
      <w:tblPr>
        <w:tblStyle w:val="7"/>
        <w:tblW w:w="13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460"/>
        <w:gridCol w:w="3120"/>
        <w:gridCol w:w="3135"/>
        <w:gridCol w:w="480"/>
        <w:gridCol w:w="3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3104" w:type="dxa"/>
            <w:gridSpan w:val="2"/>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开标日期</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c>
          <w:tcPr>
            <w:tcW w:w="3135"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代理机构</w:t>
            </w:r>
          </w:p>
        </w:tc>
        <w:tc>
          <w:tcPr>
            <w:tcW w:w="4093" w:type="dxa"/>
            <w:gridSpan w:val="2"/>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3104"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项目编号</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c>
          <w:tcPr>
            <w:tcW w:w="3135"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项目名称</w:t>
            </w:r>
          </w:p>
        </w:tc>
        <w:tc>
          <w:tcPr>
            <w:tcW w:w="4093" w:type="dxa"/>
            <w:gridSpan w:val="2"/>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3452" w:type="dxa"/>
            <w:gridSpan w:val="6"/>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lang w:val="en-US" w:eastAsia="zh-CN"/>
              </w:rPr>
              <w:t>评分情况（</w:t>
            </w:r>
            <w:r>
              <w:rPr>
                <w:rFonts w:hint="eastAsia" w:asciiTheme="minorEastAsia" w:hAnsiTheme="minorEastAsia" w:eastAsiaTheme="minorEastAsia"/>
                <w:b w:val="0"/>
                <w:bCs w:val="0"/>
                <w:color w:val="auto"/>
                <w:sz w:val="21"/>
                <w:szCs w:val="21"/>
                <w:u w:val="none"/>
              </w:rPr>
              <w:t>基本满意扣分范围1-5分，不满意扣分范围6-10分</w:t>
            </w:r>
            <w:r>
              <w:rPr>
                <w:rFonts w:hint="eastAsia" w:asciiTheme="minorEastAsia" w:hAnsiTheme="minorEastAsia" w:eastAsiaTheme="minorEastAsia"/>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3104" w:type="dxa"/>
            <w:gridSpan w:val="2"/>
            <w:vMerge w:val="restart"/>
            <w:tcBorders>
              <w:tl2br w:val="nil"/>
              <w:tr2bl w:val="nil"/>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ind w:firstLine="0" w:firstLineChars="0"/>
              <w:jc w:val="center"/>
              <w:rPr>
                <w:rFonts w:hint="eastAsia" w:asciiTheme="minorEastAsia" w:hAnsiTheme="minorEastAsia" w:eastAsiaTheme="minorEastAsia"/>
                <w:b w:val="0"/>
                <w:bCs w:val="0"/>
                <w:color w:val="auto"/>
                <w:sz w:val="21"/>
                <w:szCs w:val="21"/>
                <w:u w:val="none"/>
                <w:lang w:val="en-US" w:eastAsia="zh-CN"/>
              </w:rPr>
            </w:pPr>
          </w:p>
          <w:p>
            <w:pPr>
              <w:snapToGrid w:val="0"/>
              <w:ind w:firstLine="0" w:firstLineChars="0"/>
              <w:jc w:val="center"/>
              <mc:AlternateContent>
                <mc:Choice Requires="wpsCustomData">
                  <wpsCustomData:diagonalParaType/>
                </mc:Choice>
              </mc:AlternateContent>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评分环节</w:t>
            </w:r>
          </w:p>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评分主体</w:t>
            </w:r>
          </w:p>
        </w:tc>
        <w:tc>
          <w:tcPr>
            <w:tcW w:w="3120" w:type="dxa"/>
            <w:vMerge w:val="restart"/>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监督部门</w:t>
            </w:r>
          </w:p>
        </w:tc>
        <w:tc>
          <w:tcPr>
            <w:tcW w:w="3135" w:type="dxa"/>
            <w:vMerge w:val="restart"/>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项目单位</w:t>
            </w:r>
          </w:p>
        </w:tc>
        <w:tc>
          <w:tcPr>
            <w:tcW w:w="4093"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3104" w:type="dxa"/>
            <w:gridSpan w:val="2"/>
            <w:vMerge w:val="continue"/>
            <w:tcBorders>
              <w:tl2br w:val="nil"/>
              <w:tr2bl w:val="nil"/>
            </w:tcBorders>
            <w:vAlign w:val="center"/>
          </w:tcPr>
          <w:p>
            <w:pPr>
              <w:ind w:firstLine="0" w:firstLineChars="0"/>
              <w:jc w:val="center"/>
              <w:rPr>
                <w:b w:val="0"/>
                <w:bCs w:val="0"/>
                <w:color w:val="auto"/>
                <w:sz w:val="21"/>
                <w:szCs w:val="21"/>
                <w:u w:val="none"/>
              </w:rPr>
            </w:pPr>
          </w:p>
        </w:tc>
        <w:tc>
          <w:tcPr>
            <w:tcW w:w="3120" w:type="dxa"/>
            <w:vMerge w:val="continue"/>
            <w:tcBorders>
              <w:tl2br w:val="nil"/>
              <w:tr2bl w:val="nil"/>
            </w:tcBorders>
            <w:vAlign w:val="center"/>
          </w:tcPr>
          <w:p>
            <w:pPr>
              <w:ind w:firstLine="0" w:firstLineChars="0"/>
              <w:jc w:val="center"/>
              <w:rPr>
                <w:b w:val="0"/>
                <w:bCs w:val="0"/>
                <w:color w:val="auto"/>
                <w:sz w:val="21"/>
                <w:szCs w:val="21"/>
                <w:u w:val="none"/>
              </w:rPr>
            </w:pPr>
          </w:p>
        </w:tc>
        <w:tc>
          <w:tcPr>
            <w:tcW w:w="3135" w:type="dxa"/>
            <w:vMerge w:val="continue"/>
            <w:tcBorders>
              <w:tl2br w:val="nil"/>
              <w:tr2bl w:val="nil"/>
            </w:tcBorders>
            <w:vAlign w:val="center"/>
          </w:tcPr>
          <w:p>
            <w:pPr>
              <w:ind w:firstLine="0" w:firstLineChars="0"/>
              <w:jc w:val="center"/>
              <w:rPr>
                <w:b w:val="0"/>
                <w:bCs w:val="0"/>
                <w:color w:val="auto"/>
                <w:sz w:val="21"/>
                <w:szCs w:val="21"/>
                <w:u w:val="none"/>
              </w:rPr>
            </w:pPr>
          </w:p>
        </w:tc>
        <w:tc>
          <w:tcPr>
            <w:tcW w:w="4093"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代理机构不良行为记录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3104"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公告及文件</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3135"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48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1</w:t>
            </w:r>
          </w:p>
        </w:tc>
        <w:tc>
          <w:tcPr>
            <w:tcW w:w="3613"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3104"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开标环节</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3135"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48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2</w:t>
            </w:r>
          </w:p>
        </w:tc>
        <w:tc>
          <w:tcPr>
            <w:tcW w:w="3613"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3104"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评标环节</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3135"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 xml:space="preserve">〇满意 </w:t>
            </w:r>
            <w:r>
              <w:rPr>
                <w:rFonts w:hint="eastAsia" w:ascii="宋体" w:hAnsi="宋体"/>
                <w:b w:val="0"/>
                <w:bCs w:val="0"/>
                <w:color w:val="auto"/>
                <w:sz w:val="21"/>
                <w:szCs w:val="21"/>
                <w:u w:val="none"/>
              </w:rPr>
              <w:t>〇基本满意 〇不满意</w:t>
            </w:r>
          </w:p>
        </w:tc>
        <w:tc>
          <w:tcPr>
            <w:tcW w:w="48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3</w:t>
            </w:r>
          </w:p>
        </w:tc>
        <w:tc>
          <w:tcPr>
            <w:tcW w:w="3613"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其他环节</w:t>
            </w:r>
          </w:p>
        </w:tc>
        <w:tc>
          <w:tcPr>
            <w:tcW w:w="2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rPr>
              <w:t>由于代理机构原因，形成实质性投诉或质疑而影响项目进展</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c>
          <w:tcPr>
            <w:tcW w:w="3135"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c>
          <w:tcPr>
            <w:tcW w:w="48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4</w:t>
            </w:r>
          </w:p>
        </w:tc>
        <w:tc>
          <w:tcPr>
            <w:tcW w:w="3613"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Theme="minorEastAsia" w:hAnsiTheme="minorEastAsia" w:eastAsiaTheme="minorEastAsia"/>
                <w:b w:val="0"/>
                <w:bCs w:val="0"/>
                <w:color w:val="auto"/>
                <w:sz w:val="21"/>
                <w:szCs w:val="21"/>
                <w:u w:val="none"/>
              </w:rPr>
            </w:pPr>
          </w:p>
        </w:tc>
        <w:tc>
          <w:tcPr>
            <w:tcW w:w="2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hint="eastAsia"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由于代理机构自身原因出现错误被省公共资源交易在线监管平台预警</w:t>
            </w:r>
          </w:p>
        </w:tc>
        <w:tc>
          <w:tcPr>
            <w:tcW w:w="312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rPr>
            </w:pPr>
          </w:p>
        </w:tc>
        <w:tc>
          <w:tcPr>
            <w:tcW w:w="3135"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rPr>
            </w:pPr>
          </w:p>
        </w:tc>
        <w:tc>
          <w:tcPr>
            <w:tcW w:w="480" w:type="dxa"/>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5</w:t>
            </w:r>
          </w:p>
        </w:tc>
        <w:tc>
          <w:tcPr>
            <w:tcW w:w="3613"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3104"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综合评价扣分汇总</w:t>
            </w:r>
          </w:p>
        </w:tc>
        <w:tc>
          <w:tcPr>
            <w:tcW w:w="3120" w:type="dxa"/>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c>
          <w:tcPr>
            <w:tcW w:w="3135" w:type="dxa"/>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代理机构确认：</w:t>
            </w:r>
          </w:p>
        </w:tc>
        <w:tc>
          <w:tcPr>
            <w:tcW w:w="4093" w:type="dxa"/>
            <w:gridSpan w:val="2"/>
            <w:tcBorders>
              <w:tl2br w:val="nil"/>
              <w:tr2bl w:val="nil"/>
            </w:tcBorders>
            <w:vAlign w:val="center"/>
          </w:tcPr>
          <w:p>
            <w:pPr>
              <w:ind w:firstLine="0" w:firstLineChars="0"/>
              <w:jc w:val="center"/>
              <w:rPr>
                <w:rFonts w:asciiTheme="minorEastAsia" w:hAnsiTheme="minorEastAsia" w:eastAsiaTheme="minorEastAsia"/>
                <w:b w:val="0"/>
                <w:b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104" w:type="dxa"/>
            <w:gridSpan w:val="2"/>
            <w:tcBorders>
              <w:tl2br w:val="nil"/>
              <w:tr2bl w:val="nil"/>
            </w:tcBorders>
            <w:vAlign w:val="center"/>
          </w:tcPr>
          <w:p>
            <w:pPr>
              <w:ind w:firstLine="0" w:firstLineChars="0"/>
              <w:jc w:val="center"/>
              <w:rPr>
                <w:rFonts w:hint="eastAsia"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各方签字栏</w:t>
            </w:r>
          </w:p>
        </w:tc>
        <w:tc>
          <w:tcPr>
            <w:tcW w:w="3120" w:type="dxa"/>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监督签字：</w:t>
            </w:r>
          </w:p>
        </w:tc>
        <w:tc>
          <w:tcPr>
            <w:tcW w:w="3135" w:type="dxa"/>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业主签字：</w:t>
            </w:r>
          </w:p>
        </w:tc>
        <w:tc>
          <w:tcPr>
            <w:tcW w:w="4093" w:type="dxa"/>
            <w:gridSpan w:val="2"/>
            <w:tcBorders>
              <w:tl2br w:val="nil"/>
              <w:tr2bl w:val="nil"/>
            </w:tcBorders>
            <w:vAlign w:val="center"/>
          </w:tcPr>
          <w:p>
            <w:pPr>
              <w:ind w:firstLine="0" w:firstLineChars="0"/>
              <w:jc w:val="center"/>
              <w:rPr>
                <w:rFonts w:hint="default" w:asciiTheme="minorEastAsia" w:hAnsiTheme="minorEastAsia" w:eastAsiaTheme="minorEastAsia"/>
                <w:b w:val="0"/>
                <w:bCs w:val="0"/>
                <w:color w:val="auto"/>
                <w:sz w:val="21"/>
                <w:szCs w:val="21"/>
                <w:u w:val="none"/>
                <w:lang w:val="en-US" w:eastAsia="zh-CN"/>
              </w:rPr>
            </w:pPr>
            <w:r>
              <w:rPr>
                <w:rFonts w:hint="eastAsia" w:asciiTheme="minorEastAsia" w:hAnsiTheme="minorEastAsia" w:eastAsiaTheme="minorEastAsia"/>
                <w:b w:val="0"/>
                <w:bCs w:val="0"/>
                <w:color w:val="auto"/>
                <w:sz w:val="21"/>
                <w:szCs w:val="21"/>
                <w:u w:val="none"/>
                <w:lang w:val="en-US" w:eastAsia="zh-CN"/>
              </w:rPr>
              <w:t>项目负责人签字：</w:t>
            </w:r>
          </w:p>
        </w:tc>
      </w:tr>
    </w:tbl>
    <w:p>
      <w:pPr>
        <w:keepNext w:val="0"/>
        <w:keepLines w:val="0"/>
        <w:pageBreakBefore w:val="0"/>
        <w:widowControl w:val="0"/>
        <w:kinsoku/>
        <w:wordWrap/>
        <w:overflowPunct/>
        <w:topLinePunct w:val="0"/>
        <w:autoSpaceDE/>
        <w:autoSpaceDN/>
        <w:bidi w:val="0"/>
        <w:adjustRightInd/>
        <w:snapToGrid/>
        <w:spacing w:line="300" w:lineRule="exact"/>
        <w:ind w:firstLine="560"/>
        <w:textAlignment w:val="auto"/>
        <w:rPr>
          <w:rFonts w:hint="eastAsia" w:asciiTheme="minorEastAsia" w:hAnsiTheme="minorEastAsia" w:eastAsiaTheme="minorEastAsia"/>
          <w:b w:val="0"/>
          <w:bCs w:val="0"/>
          <w:color w:val="auto"/>
          <w:sz w:val="21"/>
          <w:szCs w:val="21"/>
          <w:u w:val="none"/>
        </w:rPr>
      </w:pPr>
      <w:r>
        <w:rPr>
          <w:rFonts w:hint="eastAsia" w:asciiTheme="minorEastAsia" w:hAnsiTheme="minorEastAsia" w:eastAsiaTheme="minorEastAsia"/>
          <w:b w:val="0"/>
          <w:bCs w:val="0"/>
          <w:color w:val="auto"/>
          <w:sz w:val="21"/>
          <w:szCs w:val="21"/>
          <w:u w:val="none"/>
        </w:rPr>
        <w:t>注：1、本表由县公共资源交易平台现场项目负责人组织填写。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840" w:firstLineChars="400"/>
        <w:textAlignment w:val="auto"/>
        <w:rPr>
          <w:rFonts w:hint="eastAsia" w:asciiTheme="minorEastAsia" w:hAnsiTheme="minorEastAsia" w:eastAsiaTheme="minorEastAsia"/>
          <w:b w:val="0"/>
          <w:bCs w:val="0"/>
          <w:color w:val="auto"/>
          <w:sz w:val="21"/>
          <w:szCs w:val="21"/>
          <w:u w:val="none"/>
          <w:lang w:eastAsia="zh-CN"/>
        </w:rPr>
      </w:pPr>
      <w:r>
        <w:rPr>
          <w:rFonts w:hint="eastAsia" w:asciiTheme="minorEastAsia" w:hAnsiTheme="minorEastAsia" w:eastAsiaTheme="minorEastAsia"/>
          <w:b w:val="0"/>
          <w:bCs w:val="0"/>
          <w:color w:val="auto"/>
          <w:sz w:val="21"/>
          <w:szCs w:val="21"/>
          <w:u w:val="none"/>
          <w:lang w:val="en-US" w:eastAsia="zh-CN"/>
        </w:rPr>
        <w:t>2、</w:t>
      </w:r>
      <w:r>
        <w:rPr>
          <w:rFonts w:hint="eastAsia" w:asciiTheme="minorEastAsia" w:hAnsiTheme="minorEastAsia" w:eastAsiaTheme="minorEastAsia"/>
          <w:b w:val="0"/>
          <w:bCs w:val="0"/>
          <w:color w:val="auto"/>
          <w:sz w:val="21"/>
          <w:szCs w:val="21"/>
          <w:u w:val="none"/>
        </w:rPr>
        <w:t>基本满意扣分范围1-5分，不满意扣分范围6-10分</w:t>
      </w:r>
      <w:r>
        <w:rPr>
          <w:rFonts w:hint="eastAsia" w:asciiTheme="minorEastAsia" w:hAnsiTheme="minorEastAsia" w:eastAsiaTheme="minorEastAsia"/>
          <w:b w:val="0"/>
          <w:bCs w:val="0"/>
          <w:color w:val="auto"/>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840" w:firstLineChars="400"/>
        <w:textAlignment w:val="auto"/>
        <w:rPr>
          <w:rFonts w:asciiTheme="minorEastAsia" w:hAnsiTheme="minorEastAsia" w:eastAsiaTheme="minorEastAsia"/>
          <w:b w:val="0"/>
          <w:bCs w:val="0"/>
          <w:color w:val="auto"/>
          <w:szCs w:val="28"/>
          <w:u w:val="none"/>
        </w:rPr>
      </w:pPr>
      <w:r>
        <w:rPr>
          <w:rFonts w:hint="eastAsia" w:asciiTheme="minorEastAsia" w:hAnsiTheme="minorEastAsia" w:eastAsiaTheme="minorEastAsia"/>
          <w:b w:val="0"/>
          <w:bCs w:val="0"/>
          <w:color w:val="auto"/>
          <w:sz w:val="21"/>
          <w:szCs w:val="21"/>
          <w:u w:val="none"/>
        </w:rPr>
        <w:t>3、附件1考评细则其他环节，有扣分情况的项目开标后可追加。</w:t>
      </w:r>
    </w:p>
    <w:bookmarkEnd w:id="0"/>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AndChars" w:linePitch="3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112"/>
        <w:tab w:val="clear" w:pos="4153"/>
      </w:tabs>
      <w:ind w:firstLine="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736166718"/>
                          </w:sdtPr>
                          <w:sdtEndPr>
                            <w:rPr>
                              <w:sz w:val="22"/>
                              <w:szCs w:val="22"/>
                            </w:rPr>
                          </w:sdtEndPr>
                          <w:sdtContent>
                            <w:p>
                              <w:pPr>
                                <w:pStyle w:val="3"/>
                                <w:ind w:firstLine="360"/>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w:t>
                              </w:r>
                              <w:r>
                                <w:rPr>
                                  <w:sz w:val="22"/>
                                  <w:szCs w:val="22"/>
                                  <w:lang w:val="zh-CN"/>
                                </w:rPr>
                                <w:fldChar w:fldCharType="end"/>
                              </w:r>
                            </w:p>
                          </w:sdtContent>
                        </w:sdt>
                        <w:p>
                          <w:pPr>
                            <w:ind w:firstLine="5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sdt>
                    <w:sdtPr>
                      <w:id w:val="1736166718"/>
                    </w:sdtPr>
                    <w:sdtEndPr>
                      <w:rPr>
                        <w:sz w:val="22"/>
                        <w:szCs w:val="22"/>
                      </w:rPr>
                    </w:sdtEndPr>
                    <w:sdtContent>
                      <w:p>
                        <w:pPr>
                          <w:pStyle w:val="3"/>
                          <w:ind w:firstLine="360"/>
                          <w:jc w:val="center"/>
                        </w:pPr>
                        <w:r>
                          <w:rPr>
                            <w:sz w:val="22"/>
                            <w:szCs w:val="22"/>
                          </w:rPr>
                          <w:fldChar w:fldCharType="begin"/>
                        </w:r>
                        <w:r>
                          <w:rPr>
                            <w:sz w:val="22"/>
                            <w:szCs w:val="22"/>
                          </w:rPr>
                          <w:instrText xml:space="preserve"> PAGE   \* MERGEFORMAT </w:instrText>
                        </w:r>
                        <w:r>
                          <w:rPr>
                            <w:sz w:val="22"/>
                            <w:szCs w:val="22"/>
                          </w:rPr>
                          <w:fldChar w:fldCharType="separate"/>
                        </w:r>
                        <w:r>
                          <w:rPr>
                            <w:sz w:val="22"/>
                            <w:szCs w:val="22"/>
                            <w:lang w:val="zh-CN"/>
                          </w:rPr>
                          <w:t>3</w:t>
                        </w:r>
                        <w:r>
                          <w:rPr>
                            <w:sz w:val="22"/>
                            <w:szCs w:val="22"/>
                            <w:lang w:val="zh-CN"/>
                          </w:rPr>
                          <w:fldChar w:fldCharType="end"/>
                        </w:r>
                      </w:p>
                    </w:sdtContent>
                  </w:sdt>
                  <w:p>
                    <w:pPr>
                      <w:ind w:firstLine="560"/>
                    </w:pPr>
                  </w:p>
                </w:txbxContent>
              </v:textbox>
            </v:shape>
          </w:pict>
        </mc:Fallback>
      </mc:AlternateContent>
    </w:r>
  </w:p>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5</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3"/>
                      <w:ind w:firstLine="48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5</w:t>
                    </w:r>
                    <w:r>
                      <w:rPr>
                        <w:rFonts w:hint="eastAsia"/>
                        <w:sz w:val="24"/>
                        <w:szCs w:val="24"/>
                      </w:rPr>
                      <w:fldChar w:fldCharType="end"/>
                    </w:r>
                  </w:p>
                </w:txbxContent>
              </v:textbox>
            </v:shape>
          </w:pict>
        </mc:Fallback>
      </mc:AlternateContent>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left="0" w:leftChars="0" w:firstLine="480" w:firstLineChars="100"/>
      <w:jc w:val="both"/>
      <w:rPr>
        <w:rFonts w:hint="eastAsia" w:ascii="宋体" w:hAnsi="宋体" w:eastAsia="宋体" w:cs="宋体"/>
        <w:b/>
        <w:bCs/>
        <w:color w:val="FF0000"/>
        <w:sz w:val="56"/>
        <w:szCs w:val="52"/>
        <w:lang w:eastAsia="zh-CN"/>
      </w:rPr>
    </w:pPr>
    <w:r>
      <w:rPr>
        <w:rFonts w:ascii="Times New Roman" w:hAnsi="Times New Roman" w:eastAsia="微软雅黑" w:cs="Times New Roman"/>
        <w:sz w:val="48"/>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185420</wp:posOffset>
              </wp:positionH>
              <wp:positionV relativeFrom="paragraph">
                <wp:posOffset>635000</wp:posOffset>
              </wp:positionV>
              <wp:extent cx="5524500" cy="635"/>
              <wp:effectExtent l="0" t="12700" r="0" b="15240"/>
              <wp:wrapNone/>
              <wp:docPr id="1" name="直线 1"/>
              <wp:cNvGraphicFramePr/>
              <a:graphic xmlns:a="http://schemas.openxmlformats.org/drawingml/2006/main">
                <a:graphicData uri="http://schemas.microsoft.com/office/word/2010/wordprocessingShape">
                  <wps:wsp>
                    <wps:cNvCnPr/>
                    <wps:spPr>
                      <a:xfrm>
                        <a:off x="0" y="0"/>
                        <a:ext cx="5524500" cy="63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margin-left:14.6pt;margin-top:50pt;height:0.05pt;width:435pt;z-index:251663360;mso-width-relative:page;mso-height-relative:page;" filled="f" stroked="t" coordsize="21600,21600" o:gfxdata="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ECztTWAAAACgEAAA8AAAAAAAAAAQAgAAAA&#10;IgAAAGRycy9kb3ducmV2LnhtbFBLAQIUABQAAAAIAIdO4kB/SsdG1AEAAJ4DAAAOAAAAAAAAAAEA&#10;IAAAACUBAABkcnMvZTJvRG9jLnhtbFBLBQYAAAAABgAGAFkBAABrBQAAAAA=&#10;">
              <v:fill on="f" focussize="0,0"/>
              <v:stroke weight="2pt" color="#FF0000" joinstyle="round"/>
              <v:imagedata o:title=""/>
              <o:lock v:ext="edit" aspectratio="f"/>
            </v:line>
          </w:pict>
        </mc:Fallback>
      </mc:AlternateContent>
    </w:r>
    <w:r>
      <w:rPr>
        <w:rFonts w:hint="eastAsia" w:ascii="宋体" w:hAnsi="宋体" w:eastAsia="宋体" w:cs="宋体"/>
        <w:b/>
        <w:bCs/>
        <w:color w:val="FF0000"/>
        <w:sz w:val="52"/>
        <w:szCs w:val="48"/>
        <w:lang w:eastAsia="zh-CN"/>
      </w:rPr>
      <w:t>滑县公共资源交易管理委员会办公室</w:t>
    </w:r>
  </w:p>
  <w:p>
    <w:pPr>
      <w:pStyle w:val="4"/>
      <w:pBdr>
        <w:bottom w:val="none" w:color="auto" w:sz="0" w:space="1"/>
      </w:pBdr>
    </w:pPr>
    <w:r>
      <w:rPr>
        <w:rFonts w:ascii="Times New Roman" w:hAnsi="Times New Roman" w:eastAsia="微软雅黑" w:cs="Times New Roman"/>
        <w:sz w:val="48"/>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185420</wp:posOffset>
              </wp:positionH>
              <wp:positionV relativeFrom="paragraph">
                <wp:posOffset>81280</wp:posOffset>
              </wp:positionV>
              <wp:extent cx="5524500" cy="635"/>
              <wp:effectExtent l="0" t="0" r="0" b="0"/>
              <wp:wrapNone/>
              <wp:docPr id="3" name="直线 3"/>
              <wp:cNvGraphicFramePr/>
              <a:graphic xmlns:a="http://schemas.openxmlformats.org/drawingml/2006/main">
                <a:graphicData uri="http://schemas.microsoft.com/office/word/2010/wordprocessingShape">
                  <wps:wsp>
                    <wps:cNvCnPr/>
                    <wps:spPr>
                      <a:xfrm>
                        <a:off x="0" y="0"/>
                        <a:ext cx="5524500" cy="635"/>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4.6pt;margin-top:6.4pt;height:0.05pt;width:435pt;z-index:251664384;mso-width-relative:page;mso-height-relative:page;" filled="f" stroked="t" coordsize="21600,21600" o:gfxdata="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2a+DzUAAAACAEAAA8AAAAAAAAAAQAgAAAA&#10;IgAAAGRycy9kb3ducmV2LnhtbFBLAQIUABQAAAAIAIdO4kADFYt/1gEAAJ4DAAAOAAAAAAAAAAEA&#10;IAAAACMBAABkcnMvZTJvRG9jLnhtbFBLBQYAAAAABgAGAFkBAABrBQAAAAA=&#10;">
              <v:fill on="f" focussize="0,0"/>
              <v:stroke weight="1.25pt" color="#FF0000" joinstyle="round"/>
              <v:imagedata o:title=""/>
              <o:lock v:ext="edit" aspectratio="f"/>
            </v:line>
          </w:pict>
        </mc:Fallback>
      </mc:AlternateContent>
    </w:r>
    <w:r>
      <w:rPr>
        <w:rFonts w:hint="eastAsia"/>
        <w:lang w:val="en-US" w:eastAsia="zh-CN"/>
      </w:rPr>
      <w:t xml:space="preserve"> </w:t>
    </w:r>
  </w:p>
  <w:p>
    <w:pPr>
      <w:pBdr>
        <w:bottom w:val="none" w:color="auto" w:sz="0" w:space="0"/>
      </w:pBd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453F5"/>
    <w:multiLevelType w:val="singleLevel"/>
    <w:tmpl w:val="594453F5"/>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93"/>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D3"/>
    <w:rsid w:val="00006F64"/>
    <w:rsid w:val="00007934"/>
    <w:rsid w:val="00014103"/>
    <w:rsid w:val="0003495F"/>
    <w:rsid w:val="00051429"/>
    <w:rsid w:val="0005156E"/>
    <w:rsid w:val="00054BAF"/>
    <w:rsid w:val="00060C2A"/>
    <w:rsid w:val="000875C9"/>
    <w:rsid w:val="00090972"/>
    <w:rsid w:val="000A6029"/>
    <w:rsid w:val="000C1B89"/>
    <w:rsid w:val="000C1F29"/>
    <w:rsid w:val="000D7537"/>
    <w:rsid w:val="000E1F7B"/>
    <w:rsid w:val="000E3D05"/>
    <w:rsid w:val="000E4E41"/>
    <w:rsid w:val="000F0623"/>
    <w:rsid w:val="000F6564"/>
    <w:rsid w:val="000F78B9"/>
    <w:rsid w:val="00110417"/>
    <w:rsid w:val="001251DC"/>
    <w:rsid w:val="00142EBF"/>
    <w:rsid w:val="0015590B"/>
    <w:rsid w:val="00160439"/>
    <w:rsid w:val="001626A6"/>
    <w:rsid w:val="00195D18"/>
    <w:rsid w:val="001A7409"/>
    <w:rsid w:val="001B4E81"/>
    <w:rsid w:val="001C0A87"/>
    <w:rsid w:val="001C122C"/>
    <w:rsid w:val="001D17EC"/>
    <w:rsid w:val="001D6997"/>
    <w:rsid w:val="001E272D"/>
    <w:rsid w:val="001F2399"/>
    <w:rsid w:val="0022448A"/>
    <w:rsid w:val="002327BE"/>
    <w:rsid w:val="00235FC7"/>
    <w:rsid w:val="0024021B"/>
    <w:rsid w:val="002437B6"/>
    <w:rsid w:val="002530CD"/>
    <w:rsid w:val="0028600F"/>
    <w:rsid w:val="002902D9"/>
    <w:rsid w:val="002932EA"/>
    <w:rsid w:val="002942FD"/>
    <w:rsid w:val="002B0BF1"/>
    <w:rsid w:val="002C4159"/>
    <w:rsid w:val="002C6253"/>
    <w:rsid w:val="002D74EB"/>
    <w:rsid w:val="002E365A"/>
    <w:rsid w:val="002F1147"/>
    <w:rsid w:val="00301D10"/>
    <w:rsid w:val="00322F46"/>
    <w:rsid w:val="00325DA1"/>
    <w:rsid w:val="00336F2D"/>
    <w:rsid w:val="00361AAC"/>
    <w:rsid w:val="00372550"/>
    <w:rsid w:val="003B0A85"/>
    <w:rsid w:val="003B7D01"/>
    <w:rsid w:val="003C17AB"/>
    <w:rsid w:val="003C1A0D"/>
    <w:rsid w:val="003E2131"/>
    <w:rsid w:val="003E27C6"/>
    <w:rsid w:val="00403574"/>
    <w:rsid w:val="004056F5"/>
    <w:rsid w:val="004322B1"/>
    <w:rsid w:val="004347AD"/>
    <w:rsid w:val="00440091"/>
    <w:rsid w:val="0044747E"/>
    <w:rsid w:val="00456875"/>
    <w:rsid w:val="00471AFF"/>
    <w:rsid w:val="0047213D"/>
    <w:rsid w:val="00473341"/>
    <w:rsid w:val="004763A2"/>
    <w:rsid w:val="00481238"/>
    <w:rsid w:val="00485DA0"/>
    <w:rsid w:val="00495F8E"/>
    <w:rsid w:val="004969C7"/>
    <w:rsid w:val="004A51C3"/>
    <w:rsid w:val="004C0B97"/>
    <w:rsid w:val="004C6D5A"/>
    <w:rsid w:val="004D3AF2"/>
    <w:rsid w:val="004F2427"/>
    <w:rsid w:val="005335A7"/>
    <w:rsid w:val="00535C71"/>
    <w:rsid w:val="00536F55"/>
    <w:rsid w:val="00541410"/>
    <w:rsid w:val="0054225F"/>
    <w:rsid w:val="005461B4"/>
    <w:rsid w:val="0055390F"/>
    <w:rsid w:val="00556168"/>
    <w:rsid w:val="005602B7"/>
    <w:rsid w:val="00560FC9"/>
    <w:rsid w:val="00562CA5"/>
    <w:rsid w:val="00571FE0"/>
    <w:rsid w:val="0057317A"/>
    <w:rsid w:val="00575EAC"/>
    <w:rsid w:val="00583ADC"/>
    <w:rsid w:val="00592E1F"/>
    <w:rsid w:val="005A01D5"/>
    <w:rsid w:val="005A3415"/>
    <w:rsid w:val="005A7370"/>
    <w:rsid w:val="005B09CA"/>
    <w:rsid w:val="005B6585"/>
    <w:rsid w:val="005C4000"/>
    <w:rsid w:val="005C4E85"/>
    <w:rsid w:val="005C5691"/>
    <w:rsid w:val="005F639A"/>
    <w:rsid w:val="00626845"/>
    <w:rsid w:val="00631B7A"/>
    <w:rsid w:val="006339F2"/>
    <w:rsid w:val="00647F4D"/>
    <w:rsid w:val="0065027B"/>
    <w:rsid w:val="0065182D"/>
    <w:rsid w:val="0065186B"/>
    <w:rsid w:val="006540CD"/>
    <w:rsid w:val="006630C9"/>
    <w:rsid w:val="006677DA"/>
    <w:rsid w:val="00673962"/>
    <w:rsid w:val="00681726"/>
    <w:rsid w:val="00694A85"/>
    <w:rsid w:val="0069505C"/>
    <w:rsid w:val="00695FD7"/>
    <w:rsid w:val="006A6D68"/>
    <w:rsid w:val="006E719A"/>
    <w:rsid w:val="006F21A8"/>
    <w:rsid w:val="006F4B9B"/>
    <w:rsid w:val="00702D84"/>
    <w:rsid w:val="007339AC"/>
    <w:rsid w:val="00734F03"/>
    <w:rsid w:val="00741F9B"/>
    <w:rsid w:val="007453AC"/>
    <w:rsid w:val="00753FFE"/>
    <w:rsid w:val="00756666"/>
    <w:rsid w:val="00757142"/>
    <w:rsid w:val="007624CE"/>
    <w:rsid w:val="007762ED"/>
    <w:rsid w:val="007978AD"/>
    <w:rsid w:val="007A3526"/>
    <w:rsid w:val="007A3651"/>
    <w:rsid w:val="007A3869"/>
    <w:rsid w:val="007C28F6"/>
    <w:rsid w:val="007D1764"/>
    <w:rsid w:val="007D43DA"/>
    <w:rsid w:val="0080018F"/>
    <w:rsid w:val="00801934"/>
    <w:rsid w:val="008204AF"/>
    <w:rsid w:val="00824A01"/>
    <w:rsid w:val="0083228C"/>
    <w:rsid w:val="00860068"/>
    <w:rsid w:val="00865091"/>
    <w:rsid w:val="008814AA"/>
    <w:rsid w:val="008B5BEF"/>
    <w:rsid w:val="008B6872"/>
    <w:rsid w:val="008C665F"/>
    <w:rsid w:val="008C784B"/>
    <w:rsid w:val="008E0B5E"/>
    <w:rsid w:val="00942745"/>
    <w:rsid w:val="0095710F"/>
    <w:rsid w:val="00963418"/>
    <w:rsid w:val="009761CA"/>
    <w:rsid w:val="00990C93"/>
    <w:rsid w:val="00992A2C"/>
    <w:rsid w:val="009A226C"/>
    <w:rsid w:val="009A2C24"/>
    <w:rsid w:val="009A6B81"/>
    <w:rsid w:val="009B5A8B"/>
    <w:rsid w:val="009B76B2"/>
    <w:rsid w:val="009C6064"/>
    <w:rsid w:val="009C6442"/>
    <w:rsid w:val="009D1DA9"/>
    <w:rsid w:val="009E0063"/>
    <w:rsid w:val="009F532D"/>
    <w:rsid w:val="00A05DA3"/>
    <w:rsid w:val="00A16FAE"/>
    <w:rsid w:val="00A258A4"/>
    <w:rsid w:val="00A268AE"/>
    <w:rsid w:val="00A4005E"/>
    <w:rsid w:val="00A50670"/>
    <w:rsid w:val="00A5158A"/>
    <w:rsid w:val="00A60625"/>
    <w:rsid w:val="00A60C28"/>
    <w:rsid w:val="00A65A41"/>
    <w:rsid w:val="00A763C8"/>
    <w:rsid w:val="00A97975"/>
    <w:rsid w:val="00AC5B42"/>
    <w:rsid w:val="00AE509B"/>
    <w:rsid w:val="00B00DC0"/>
    <w:rsid w:val="00B03B7B"/>
    <w:rsid w:val="00B33FF9"/>
    <w:rsid w:val="00B52705"/>
    <w:rsid w:val="00B52A83"/>
    <w:rsid w:val="00B679FE"/>
    <w:rsid w:val="00B72136"/>
    <w:rsid w:val="00B725FA"/>
    <w:rsid w:val="00B94340"/>
    <w:rsid w:val="00BA33F5"/>
    <w:rsid w:val="00BB487D"/>
    <w:rsid w:val="00BB6461"/>
    <w:rsid w:val="00BB7E07"/>
    <w:rsid w:val="00BD00A4"/>
    <w:rsid w:val="00BE6657"/>
    <w:rsid w:val="00BF6224"/>
    <w:rsid w:val="00BF64CD"/>
    <w:rsid w:val="00C03C88"/>
    <w:rsid w:val="00C11085"/>
    <w:rsid w:val="00C24611"/>
    <w:rsid w:val="00C35465"/>
    <w:rsid w:val="00C400D0"/>
    <w:rsid w:val="00C4419A"/>
    <w:rsid w:val="00C52B65"/>
    <w:rsid w:val="00C65975"/>
    <w:rsid w:val="00C8290E"/>
    <w:rsid w:val="00C82B01"/>
    <w:rsid w:val="00C92757"/>
    <w:rsid w:val="00C93A4B"/>
    <w:rsid w:val="00C94727"/>
    <w:rsid w:val="00C97335"/>
    <w:rsid w:val="00CB5B43"/>
    <w:rsid w:val="00CB7849"/>
    <w:rsid w:val="00CC12B5"/>
    <w:rsid w:val="00CC3F98"/>
    <w:rsid w:val="00CC6802"/>
    <w:rsid w:val="00CE5810"/>
    <w:rsid w:val="00CF270D"/>
    <w:rsid w:val="00D23308"/>
    <w:rsid w:val="00D24E92"/>
    <w:rsid w:val="00D25D0F"/>
    <w:rsid w:val="00D27DB7"/>
    <w:rsid w:val="00D3590E"/>
    <w:rsid w:val="00D610D9"/>
    <w:rsid w:val="00D61A71"/>
    <w:rsid w:val="00D71734"/>
    <w:rsid w:val="00D77BD3"/>
    <w:rsid w:val="00DA2850"/>
    <w:rsid w:val="00DC4249"/>
    <w:rsid w:val="00DD7E73"/>
    <w:rsid w:val="00DF0106"/>
    <w:rsid w:val="00DF4161"/>
    <w:rsid w:val="00E02522"/>
    <w:rsid w:val="00E17094"/>
    <w:rsid w:val="00E439A9"/>
    <w:rsid w:val="00E463BF"/>
    <w:rsid w:val="00E463E3"/>
    <w:rsid w:val="00E64244"/>
    <w:rsid w:val="00E73F00"/>
    <w:rsid w:val="00E83739"/>
    <w:rsid w:val="00E86FBD"/>
    <w:rsid w:val="00E97F5B"/>
    <w:rsid w:val="00EB704C"/>
    <w:rsid w:val="00EB7128"/>
    <w:rsid w:val="00EB7B5D"/>
    <w:rsid w:val="00EC7894"/>
    <w:rsid w:val="00EE21D7"/>
    <w:rsid w:val="00F0684E"/>
    <w:rsid w:val="00F27C91"/>
    <w:rsid w:val="00F27EC9"/>
    <w:rsid w:val="00F45751"/>
    <w:rsid w:val="00F57648"/>
    <w:rsid w:val="00F57C22"/>
    <w:rsid w:val="00F61F1A"/>
    <w:rsid w:val="00F64AA2"/>
    <w:rsid w:val="00F72161"/>
    <w:rsid w:val="00F72C0F"/>
    <w:rsid w:val="00F81FDB"/>
    <w:rsid w:val="00F8324D"/>
    <w:rsid w:val="00F90283"/>
    <w:rsid w:val="00FA14B4"/>
    <w:rsid w:val="00FB2265"/>
    <w:rsid w:val="00FB76C1"/>
    <w:rsid w:val="00FC7985"/>
    <w:rsid w:val="00FE186A"/>
    <w:rsid w:val="00FE6800"/>
    <w:rsid w:val="00FF373F"/>
    <w:rsid w:val="010A35D0"/>
    <w:rsid w:val="011B72CF"/>
    <w:rsid w:val="028178F6"/>
    <w:rsid w:val="0559003B"/>
    <w:rsid w:val="060D66DA"/>
    <w:rsid w:val="0ABB77DF"/>
    <w:rsid w:val="0C575806"/>
    <w:rsid w:val="0DF10647"/>
    <w:rsid w:val="1080034B"/>
    <w:rsid w:val="18A57A8C"/>
    <w:rsid w:val="194C7E32"/>
    <w:rsid w:val="19EE5161"/>
    <w:rsid w:val="1FAF6276"/>
    <w:rsid w:val="230E46F6"/>
    <w:rsid w:val="27333F9B"/>
    <w:rsid w:val="27C441C2"/>
    <w:rsid w:val="2AB430CC"/>
    <w:rsid w:val="2C4520B7"/>
    <w:rsid w:val="2D151CC0"/>
    <w:rsid w:val="2DD82573"/>
    <w:rsid w:val="2E76732A"/>
    <w:rsid w:val="33881A6C"/>
    <w:rsid w:val="3431348B"/>
    <w:rsid w:val="34A504B5"/>
    <w:rsid w:val="34DA2A9D"/>
    <w:rsid w:val="36895E2E"/>
    <w:rsid w:val="37354078"/>
    <w:rsid w:val="37894884"/>
    <w:rsid w:val="37BE1A50"/>
    <w:rsid w:val="3CBC7EFB"/>
    <w:rsid w:val="3DA03FDA"/>
    <w:rsid w:val="41E832D9"/>
    <w:rsid w:val="4C0E5A16"/>
    <w:rsid w:val="4F6E2DC1"/>
    <w:rsid w:val="500B514F"/>
    <w:rsid w:val="54B4545E"/>
    <w:rsid w:val="59D65F02"/>
    <w:rsid w:val="5BAD6547"/>
    <w:rsid w:val="5C564DBF"/>
    <w:rsid w:val="5F2529BD"/>
    <w:rsid w:val="67CA6D51"/>
    <w:rsid w:val="6BD3156F"/>
    <w:rsid w:val="6D6C6080"/>
    <w:rsid w:val="6EE673A3"/>
    <w:rsid w:val="70EB7539"/>
    <w:rsid w:val="76503554"/>
    <w:rsid w:val="76790098"/>
    <w:rsid w:val="7A0252C3"/>
    <w:rsid w:val="7C1811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next w:val="1"/>
    <w:link w:val="11"/>
    <w:qFormat/>
    <w:uiPriority w:val="10"/>
    <w:pPr>
      <w:spacing w:before="240" w:after="60"/>
      <w:jc w:val="center"/>
      <w:outlineLvl w:val="0"/>
    </w:pPr>
    <w:rPr>
      <w:rFonts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4"/>
    <w:qFormat/>
    <w:uiPriority w:val="99"/>
    <w:rPr>
      <w:rFonts w:ascii="Times New Roman" w:hAnsi="Times New Roman" w:eastAsia="宋体"/>
      <w:sz w:val="18"/>
      <w:szCs w:val="18"/>
    </w:rPr>
  </w:style>
  <w:style w:type="character" w:customStyle="1" w:styleId="10">
    <w:name w:val="页脚 Char"/>
    <w:basedOn w:val="8"/>
    <w:link w:val="3"/>
    <w:qFormat/>
    <w:uiPriority w:val="99"/>
    <w:rPr>
      <w:rFonts w:ascii="Times New Roman" w:hAnsi="Times New Roman" w:eastAsia="宋体"/>
      <w:sz w:val="18"/>
      <w:szCs w:val="18"/>
    </w:rPr>
  </w:style>
  <w:style w:type="character" w:customStyle="1" w:styleId="11">
    <w:name w:val="标题 Char"/>
    <w:basedOn w:val="8"/>
    <w:link w:val="5"/>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pPr>
  </w:style>
  <w:style w:type="character" w:customStyle="1" w:styleId="13">
    <w:name w:val="批注框文本 Char"/>
    <w:basedOn w:val="8"/>
    <w:link w:val="2"/>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484</Words>
  <Characters>2759</Characters>
  <Lines>22</Lines>
  <Paragraphs>6</Paragraphs>
  <TotalTime>1431</TotalTime>
  <ScaleCrop>false</ScaleCrop>
  <LinksUpToDate>false</LinksUpToDate>
  <CharactersWithSpaces>3237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2020-06-14T23:52:00Z</dcterms:created>
  <dc:creator>永城市公共资源交易中心:陈婷</dc:creator>
  <cp:lastModifiedBy>Administrator</cp:lastModifiedBy>
  <cp:lastPrinted>2021-02-24T01:11:00Z</cp:lastPrinted>
  <dcterms:modified xsi:type="dcterms:W3CDTF">2021-03-15T08:23:18Z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